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宁夏回族自治区实施《地下水管理条例》办法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rPr>
        <w:t>（草案</w:t>
      </w:r>
      <w:r>
        <w:rPr>
          <w:rFonts w:hint="eastAsia" w:ascii="楷体" w:hAnsi="楷体" w:eastAsia="楷体" w:cs="楷体"/>
          <w:sz w:val="32"/>
          <w:szCs w:val="32"/>
          <w:lang w:eastAsia="zh-CN"/>
        </w:rPr>
        <w:t>征求意见稿</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zh-CN" w:eastAsia="zh-CN"/>
        </w:rPr>
      </w:pPr>
      <w:r>
        <w:rPr>
          <w:rFonts w:hint="default" w:ascii="黑体" w:hAnsi="黑体" w:eastAsia="黑体" w:cs="黑体"/>
          <w:sz w:val="32"/>
          <w:szCs w:val="32"/>
          <w:lang w:val="en-US" w:eastAsia="zh-CN"/>
        </w:rPr>
        <w:t>第一章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zh-CN" w:eastAsia="zh-CN"/>
        </w:rPr>
        <w:t>总</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zh-CN" w:eastAsia="zh-CN"/>
        </w:rPr>
        <w:t>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黑体" w:hAnsi="黑体" w:eastAsia="黑体" w:cs="黑体"/>
          <w:sz w:val="32"/>
          <w:szCs w:val="32"/>
          <w:lang w:val="en-US" w:eastAsia="zh-CN"/>
        </w:rPr>
        <w:t>第一条</w:t>
      </w:r>
      <w:r>
        <w:rPr>
          <w:rFonts w:hint="eastAsia" w:ascii="黑体" w:hAnsi="黑体" w:eastAsia="黑体" w:cs="黑体"/>
          <w:b w:val="0"/>
          <w:bCs w:val="0"/>
          <w:sz w:val="32"/>
          <w:szCs w:val="32"/>
          <w:lang w:val="en-US" w:eastAsia="zh-CN"/>
        </w:rPr>
        <w:t>【立法目的】</w:t>
      </w:r>
      <w:r>
        <w:rPr>
          <w:rFonts w:hint="default" w:ascii="Times New Roman" w:hAnsi="Times New Roman" w:eastAsia="仿宋_GB2312" w:cs="Times New Roman"/>
          <w:b w:val="0"/>
          <w:bCs w:val="0"/>
          <w:sz w:val="32"/>
          <w:szCs w:val="32"/>
          <w:lang w:val="en-US" w:eastAsia="zh-CN"/>
        </w:rPr>
        <w:t xml:space="preserve"> 为加强地下水管理，防治地下水超采和污染，保障地下水质量和可持续利用，推进生态文明建设，根据《中华人民共和国水法》《地下水管理条例》等法律法规，结合自治区实际，制定本办法。</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第二条【适用范围</w:t>
      </w:r>
      <w:r>
        <w:rPr>
          <w:rFonts w:hint="default" w:ascii="Times New Roman" w:hAnsi="Times New Roman" w:eastAsia="仿宋_GB2312" w:cs="Times New Roman"/>
          <w:b w:val="0"/>
          <w:bCs w:val="0"/>
          <w:kern w:val="2"/>
          <w:sz w:val="32"/>
          <w:szCs w:val="32"/>
          <w:lang w:val="en-US" w:eastAsia="zh-CN" w:bidi="ar-SA"/>
        </w:rPr>
        <w:t>】 在自治区行政区域内从事地下水调查与规划、节约与保护、超采治理、污染防治、监督管理等活动，适用本办法。</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第三条</w:t>
      </w:r>
      <w:bookmarkStart w:id="0" w:name="_GoBack"/>
      <w:bookmarkEnd w:id="0"/>
      <w:r>
        <w:rPr>
          <w:rFonts w:hint="default" w:ascii="黑体" w:hAnsi="黑体" w:eastAsia="黑体" w:cs="黑体"/>
          <w:kern w:val="2"/>
          <w:sz w:val="32"/>
          <w:szCs w:val="32"/>
          <w:lang w:val="en-US" w:eastAsia="zh-CN" w:bidi="ar-SA"/>
        </w:rPr>
        <w:t>【管理原则】</w:t>
      </w:r>
      <w:r>
        <w:rPr>
          <w:rFonts w:hint="default" w:ascii="Times New Roman" w:hAnsi="Times New Roman" w:eastAsia="仿宋_GB2312" w:cs="Times New Roman"/>
          <w:b w:val="0"/>
          <w:bCs w:val="0"/>
          <w:kern w:val="2"/>
          <w:sz w:val="32"/>
          <w:szCs w:val="32"/>
          <w:lang w:val="en-US" w:eastAsia="zh-CN" w:bidi="ar-SA"/>
        </w:rPr>
        <w:t xml:space="preserve"> 地下水管理应当坚持以水定城、以水定地、以水定人、以水定产，遵循统筹规划、节水优先、高效利用、系统治理的原则。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第四条【政府职责】</w:t>
      </w:r>
      <w:r>
        <w:rPr>
          <w:rFonts w:hint="default" w:ascii="Times New Roman" w:hAnsi="Times New Roman" w:eastAsia="仿宋_GB2312" w:cs="Times New Roman"/>
          <w:b w:val="0"/>
          <w:bCs w:val="0"/>
          <w:kern w:val="2"/>
          <w:sz w:val="32"/>
          <w:szCs w:val="32"/>
          <w:lang w:val="en-US" w:eastAsia="zh-CN" w:bidi="ar-SA"/>
        </w:rPr>
        <w:t xml:space="preserve"> 县级以上人民政府负责本行政区域内的地下水管理工作，将地下水管理工作纳入本级国民经济和社会发展规划，并将地下水调查与规划、节约与保护、监督管理等经费列入本级财政预算，采取控制开采量、防治污染等措施，维持地下水合理水位，保护地下水水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第五条【部门职责】</w:t>
      </w:r>
      <w:r>
        <w:rPr>
          <w:rFonts w:hint="default" w:ascii="Times New Roman" w:hAnsi="Times New Roman" w:eastAsia="仿宋_GB2312" w:cs="Times New Roman"/>
          <w:b w:val="0"/>
          <w:bCs w:val="0"/>
          <w:kern w:val="2"/>
          <w:sz w:val="32"/>
          <w:szCs w:val="32"/>
          <w:lang w:val="en-US" w:eastAsia="zh-CN" w:bidi="ar-SA"/>
        </w:rPr>
        <w:t xml:space="preserve"> 县级以上人民政府水行政主管部门按照管理权限，负责本行政区域内地下水统一监督管理工作。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自治区、设区的市人民政府生态环境主管部门负责本行政区域内地下水污染防治监督管理工作。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县级以上人民政府自然资源等主管部门按照职责分工负责本行政区域内地下水调查、监测等相关工作。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黑体" w:hAnsi="黑体" w:eastAsia="黑体" w:cs="黑体"/>
          <w:kern w:val="2"/>
          <w:sz w:val="32"/>
          <w:szCs w:val="32"/>
          <w:lang w:val="en-US" w:eastAsia="zh-CN" w:bidi="ar-SA"/>
        </w:rPr>
        <w:t xml:space="preserve">第六条【考核评价】 </w:t>
      </w:r>
      <w:r>
        <w:rPr>
          <w:rFonts w:hint="default" w:ascii="Times New Roman" w:hAnsi="Times New Roman" w:eastAsia="仿宋_GB2312" w:cs="Times New Roman"/>
          <w:b w:val="0"/>
          <w:bCs w:val="0"/>
          <w:kern w:val="2"/>
          <w:sz w:val="32"/>
          <w:szCs w:val="32"/>
          <w:lang w:val="en-US" w:eastAsia="zh-CN" w:bidi="ar-SA"/>
        </w:rPr>
        <w:t>自治区人民政府对设区的市、县（市、区）地下水管理和保护情况实行目标责任制和考核评价制度。自治区有关部门按照职责分工负责考核评价工作的具体组织实施。</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 xml:space="preserve">第七条【宣传和表彰奖励】 </w:t>
      </w:r>
      <w:r>
        <w:rPr>
          <w:rFonts w:hint="default" w:ascii="Times New Roman" w:hAnsi="Times New Roman" w:eastAsia="仿宋_GB2312" w:cs="Times New Roman"/>
          <w:b w:val="0"/>
          <w:bCs w:val="0"/>
          <w:kern w:val="2"/>
          <w:sz w:val="32"/>
          <w:szCs w:val="32"/>
          <w:lang w:val="en-US" w:eastAsia="zh-CN" w:bidi="ar-SA"/>
        </w:rPr>
        <w:t>县级以上人民政府及其有关部门应当采取多种形式开展地下水节约和保护的宣传教育，增强公众节约和保护地下水的意识。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对在节约、保护和管理地下水工作中作出突出贡献的单位和个人，县级以上人民政府按照有关规定给予表彰和奖励。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zh-CN"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调查与规划</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黑体" w:hAnsi="黑体" w:eastAsia="黑体" w:cs="黑体"/>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第八条【调查评价】</w:t>
      </w:r>
      <w:r>
        <w:rPr>
          <w:rFonts w:hint="default" w:ascii="Times New Roman" w:hAnsi="Times New Roman" w:eastAsia="仿宋_GB2312" w:cs="Times New Roman"/>
          <w:b w:val="0"/>
          <w:bCs w:val="0"/>
          <w:kern w:val="2"/>
          <w:sz w:val="32"/>
          <w:szCs w:val="32"/>
          <w:lang w:val="en-US" w:eastAsia="zh-CN" w:bidi="ar-SA"/>
        </w:rPr>
        <w:t xml:space="preserve"> 县级以上人民政府应当组织开展地下水状况调查评价工作，并依法向社会公布调查评价成果。地下水状况调查评价包括地下水资源调查评价、地下水污染调查评价和水文地质勘查评价等内容。</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县级以上人民政府水行政主管部门会同自然资源等主管部门具体负责地下水资源调查评价工作，生态环境主管部门具体负责地下水污染调查评价工作，自然资源主管部门具体负责水文地质勘查评价工作。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第九条【规划编制】</w:t>
      </w:r>
      <w:r>
        <w:rPr>
          <w:rFonts w:hint="default" w:ascii="Times New Roman" w:hAnsi="Times New Roman" w:eastAsia="仿宋_GB2312" w:cs="Times New Roman"/>
          <w:b w:val="0"/>
          <w:bCs w:val="0"/>
          <w:kern w:val="2"/>
          <w:sz w:val="32"/>
          <w:szCs w:val="32"/>
          <w:lang w:val="en-US" w:eastAsia="zh-CN" w:bidi="ar-SA"/>
        </w:rPr>
        <w:t xml:space="preserve"> 自治区人民政府水行政、自然资源、生态环境等主管部门应当按照职责分工，根据地下水状况调查评价成果，统筹考虑经济社会发展需要、地下水资源状况、污染防治等因素，编制地下水保</w:t>
      </w:r>
      <w:r>
        <w:rPr>
          <w:rFonts w:hint="default" w:ascii="Times New Roman" w:hAnsi="Times New Roman" w:eastAsia="仿宋_GB2312" w:cs="Times New Roman"/>
          <w:b w:val="0"/>
          <w:bCs w:val="0"/>
          <w:kern w:val="2"/>
          <w:sz w:val="32"/>
          <w:szCs w:val="32"/>
          <w:highlight w:val="none"/>
          <w:lang w:val="en-US" w:eastAsia="zh-CN" w:bidi="ar-SA"/>
        </w:rPr>
        <w:t>护利用、地下水污染防治等规划，依法履行征求意见、论证评估等程序</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报自治区人</w:t>
      </w:r>
      <w:r>
        <w:rPr>
          <w:rFonts w:hint="default" w:ascii="Times New Roman" w:hAnsi="Times New Roman" w:eastAsia="仿宋_GB2312" w:cs="Times New Roman"/>
          <w:b w:val="0"/>
          <w:bCs w:val="0"/>
          <w:kern w:val="2"/>
          <w:sz w:val="32"/>
          <w:szCs w:val="32"/>
          <w:lang w:val="en-US" w:eastAsia="zh-CN" w:bidi="ar-SA"/>
        </w:rPr>
        <w:t>民政府批准后向社会公布，并按照规定备案。</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第十条【涉水规划要求】</w:t>
      </w:r>
      <w:r>
        <w:rPr>
          <w:rFonts w:hint="eastAsia" w:ascii="黑体" w:hAnsi="黑体" w:eastAsia="黑体" w:cs="黑体"/>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编制工业、农业、畜牧业、林草业、能源、交通运输、旅游、自然资源开发等专项规划和开发区、新区规划等，涉及地下水资源开发利用的，应当进行规划水资源论证，征求本级人民政府水行政主管部门的意见，并与地下水保护利用和污染防治等规划相衔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未经论证或者经论证不符合水资源强制性约束控制指标的，规划审批机关不得批准该规划。</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第十一条【地下水战略储备】</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县级以上人民政府水行政主管部门会同本级人民政府自然资源、发展改革等主管部门，根据国家地下水储备有关规定，明确地下水储备布局，划定储备范围，明确储备含水层位、储备量及水质状况，制定动用地下水储备预案并报本级人民政府批准。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特殊干旱年份以及重大突发事件时动用地下水储备的，县级以上人民政府水行政主管部门应当报本级人民政府批准后实施，并报上一级水行政主管部门备案。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zh-CN"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节约与保护</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黑体" w:hAnsi="黑体" w:eastAsia="黑体" w:cs="黑体"/>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 xml:space="preserve">第十二条【总量控制制度】 </w:t>
      </w:r>
      <w:r>
        <w:rPr>
          <w:rFonts w:hint="default" w:ascii="Times New Roman" w:hAnsi="Times New Roman" w:eastAsia="仿宋_GB2312" w:cs="Times New Roman"/>
          <w:b w:val="0"/>
          <w:bCs w:val="0"/>
          <w:kern w:val="2"/>
          <w:sz w:val="32"/>
          <w:szCs w:val="32"/>
          <w:lang w:val="en-US" w:eastAsia="zh-CN" w:bidi="ar-SA"/>
        </w:rPr>
        <w:t>自治区实行地下水取水总量控制制度。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自治区人民政府水行政主管部门应当会同自然资源等主管部门，根据国家下达的地下水取水总量控制指标，制定设区的市、县（市、区）地下水取水总量控制指标和地下水水位控制指标，经自治区人民政府批准后下达实施，并报国务院水行政主管部门或者黄河流域管理机构备案。</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第十三条【总量控制制度】</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地下水取水总量和水位控制指标，应当作为地下水目标责任制、考核评价、地下水取水许可管理和地下水超采综合治理的重要依据。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设区的市、县（市、区）年度开采地下水总量不得超出批准的地下水取水总量控制指标，地下水水位不得低于地下水水位控制指标。地下水取水总量、水位不符合控</w:t>
      </w:r>
      <w:r>
        <w:rPr>
          <w:rFonts w:hint="eastAsia" w:ascii="Times New Roman" w:hAnsi="Times New Roman" w:eastAsia="仿宋_GB2312" w:cs="Times New Roman"/>
          <w:b w:val="0"/>
          <w:bCs w:val="0"/>
          <w:kern w:val="2"/>
          <w:sz w:val="32"/>
          <w:szCs w:val="32"/>
          <w:lang w:val="en-US" w:eastAsia="zh-CN" w:bidi="ar-SA"/>
        </w:rPr>
        <w:t>制</w:t>
      </w:r>
      <w:r>
        <w:rPr>
          <w:rFonts w:hint="default" w:ascii="Times New Roman" w:hAnsi="Times New Roman" w:eastAsia="仿宋_GB2312" w:cs="Times New Roman"/>
          <w:b w:val="0"/>
          <w:bCs w:val="0"/>
          <w:kern w:val="2"/>
          <w:sz w:val="32"/>
          <w:szCs w:val="32"/>
          <w:lang w:val="en-US" w:eastAsia="zh-CN" w:bidi="ar-SA"/>
        </w:rPr>
        <w:t>指标要求的，相关水行政主管部门应当采取治理措施，限期达到地下水取水总量和水位控制要求。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第十四条【年度水量分配计划】</w:t>
      </w:r>
      <w:r>
        <w:rPr>
          <w:rFonts w:hint="eastAsia" w:ascii="Times New Roman" w:hAnsi="Times New Roman" w:eastAsia="仿宋_GB2312" w:cs="Times New Roman"/>
          <w:b w:val="0"/>
          <w:bCs w:val="0"/>
          <w:kern w:val="2"/>
          <w:sz w:val="32"/>
          <w:szCs w:val="32"/>
          <w:lang w:val="en-US" w:eastAsia="zh-CN" w:bidi="ar-SA"/>
        </w:rPr>
        <w:t xml:space="preserve"> 自治区人民政府水行政主管部门应当根据地下水取水总量控制指标、地下水水位控制指标、地下水需求量和用水结构，制定年度地下水水量分配计划，明确设区的市、县（市、区）年度取水总量。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第十五条【年度取水计划】</w:t>
      </w:r>
      <w:r>
        <w:rPr>
          <w:rFonts w:hint="eastAsia" w:ascii="Times New Roman" w:hAnsi="Times New Roman" w:eastAsia="仿宋_GB2312" w:cs="Times New Roman"/>
          <w:b w:val="0"/>
          <w:bCs w:val="0"/>
          <w:kern w:val="2"/>
          <w:sz w:val="32"/>
          <w:szCs w:val="32"/>
          <w:lang w:val="en-US" w:eastAsia="zh-CN" w:bidi="ar-SA"/>
        </w:rPr>
        <w:t xml:space="preserve"> 设区的市、县（市、区）人民政府水行政主管部门应当根据自治区下达的</w:t>
      </w:r>
      <w:r>
        <w:rPr>
          <w:rFonts w:hint="eastAsia" w:ascii="Times New Roman" w:hAnsi="Times New Roman" w:eastAsia="仿宋_GB2312" w:cs="Times New Roman"/>
          <w:b w:val="0"/>
          <w:bCs w:val="0"/>
          <w:kern w:val="2"/>
          <w:sz w:val="32"/>
          <w:szCs w:val="32"/>
          <w:highlight w:val="none"/>
          <w:lang w:val="en-US" w:eastAsia="zh-CN" w:bidi="ar-SA"/>
        </w:rPr>
        <w:t>年度</w:t>
      </w:r>
      <w:r>
        <w:rPr>
          <w:rFonts w:hint="eastAsia" w:ascii="Times New Roman" w:hAnsi="Times New Roman" w:eastAsia="仿宋_GB2312" w:cs="Times New Roman"/>
          <w:b w:val="0"/>
          <w:bCs w:val="0"/>
          <w:kern w:val="2"/>
          <w:sz w:val="32"/>
          <w:szCs w:val="32"/>
          <w:lang w:val="en-US" w:eastAsia="zh-CN" w:bidi="ar-SA"/>
        </w:rPr>
        <w:t>地下水水量分配计划，制定本行政区域内的地下水年度取水计划，并报上一级人民政府水行政主管部门备案。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地下水年度取水计划应当分解到城乡生活、工业、农业、生态等行业，并明确取水户取水量。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第十六条【取水许可制度】</w:t>
      </w:r>
      <w:r>
        <w:rPr>
          <w:rFonts w:hint="eastAsia" w:ascii="Times New Roman" w:hAnsi="Times New Roman" w:eastAsia="仿宋_GB2312" w:cs="Times New Roman"/>
          <w:b w:val="0"/>
          <w:bCs w:val="0"/>
          <w:kern w:val="2"/>
          <w:sz w:val="32"/>
          <w:szCs w:val="32"/>
          <w:lang w:val="en-US" w:eastAsia="zh-CN" w:bidi="ar-SA"/>
        </w:rPr>
        <w:t xml:space="preserve"> 取用地下水的单位和个人，应当依法申请领取取水许可证。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矿产资源开采、地下工程年疏干排水量达到5万立方米以上的，应当申请领取取水许可证。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开采已探明的地热水、矿泉水的，应当向所在地的县级人民政府水行政主管部门提出取水许可申请，经初审后，报自治区人民政府水行政主管部门审批。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第十七条【取水许可例外情形】</w:t>
      </w:r>
      <w:r>
        <w:rPr>
          <w:rFonts w:hint="eastAsia" w:ascii="Times New Roman" w:hAnsi="Times New Roman" w:eastAsia="仿宋_GB2312" w:cs="Times New Roman"/>
          <w:b w:val="0"/>
          <w:bCs w:val="0"/>
          <w:kern w:val="2"/>
          <w:sz w:val="32"/>
          <w:szCs w:val="32"/>
          <w:lang w:val="en-US" w:eastAsia="zh-CN" w:bidi="ar-SA"/>
        </w:rPr>
        <w:t xml:space="preserve"> 下列情形不需要申请领取取水许可证：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（一）家庭生活和零星散养、圈养畜禽饮用，年取水量1000立方米以下的；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（二）为保障矿井等地下工程施工安全和生产安全必须进行临时应急取（排）水的；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（三）为消除对公共安全或者公共利益的危害临时应急取水的；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（四）为农业抗旱和维护生态与环境必须临时应急取水的；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（五）矿产资源开采、地下工程年疏干排水量5万立方米以下的；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（六）以监测、勘探为目的的地下水取水工程。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第十八条【农业抗旱应急井管理】</w:t>
      </w:r>
      <w:r>
        <w:rPr>
          <w:rFonts w:hint="eastAsia" w:ascii="Times New Roman" w:hAnsi="Times New Roman" w:eastAsia="仿宋_GB2312" w:cs="Times New Roman"/>
          <w:b w:val="0"/>
          <w:bCs w:val="0"/>
          <w:kern w:val="2"/>
          <w:sz w:val="32"/>
          <w:szCs w:val="32"/>
          <w:lang w:val="en-US" w:eastAsia="zh-CN" w:bidi="ar-SA"/>
        </w:rPr>
        <w:t xml:space="preserve"> 县级人民政府水行政主管部门应当按年度向上一级人民政府水行政主管部门报告农业抗旱应急井取用地下水情况。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确需启用农业抗旱应急井取用地下水的，取水单位或者个人应当提出书面取水申请，经所在地县级人民政府水行政主管部门同意后方可启用。旱情解除后，应当立即停止取水；仍需继续取水的，取水单位或者个人应当依法办理取水许可手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 xml:space="preserve">第十九条【取水备案制度】 </w:t>
      </w:r>
      <w:r>
        <w:rPr>
          <w:rFonts w:hint="eastAsia" w:ascii="Times New Roman" w:hAnsi="Times New Roman" w:eastAsia="仿宋_GB2312" w:cs="Times New Roman"/>
          <w:b w:val="0"/>
          <w:bCs w:val="0"/>
          <w:kern w:val="2"/>
          <w:sz w:val="32"/>
          <w:szCs w:val="32"/>
          <w:lang w:val="en-US" w:eastAsia="zh-CN" w:bidi="ar-SA"/>
        </w:rPr>
        <w:t>为保障矿井等地下工程施工安全和生产安全必须进行临时应急取</w:t>
      </w:r>
      <w:r>
        <w:rPr>
          <w:rFonts w:hint="eastAsia" w:ascii="Times New Roman" w:hAnsi="Times New Roman" w:eastAsia="仿宋_GB2312" w:cs="Times New Roman"/>
          <w:b w:val="0"/>
          <w:bCs w:val="0"/>
          <w:kern w:val="2"/>
          <w:sz w:val="32"/>
          <w:szCs w:val="32"/>
          <w:highlight w:val="none"/>
          <w:lang w:val="en-US" w:eastAsia="zh-CN" w:bidi="ar-SA"/>
        </w:rPr>
        <w:t>（排）</w:t>
      </w:r>
      <w:r>
        <w:rPr>
          <w:rFonts w:hint="eastAsia" w:ascii="Times New Roman" w:hAnsi="Times New Roman" w:eastAsia="仿宋_GB2312" w:cs="Times New Roman"/>
          <w:b w:val="0"/>
          <w:bCs w:val="0"/>
          <w:kern w:val="2"/>
          <w:sz w:val="32"/>
          <w:szCs w:val="32"/>
          <w:lang w:val="en-US" w:eastAsia="zh-CN" w:bidi="ar-SA"/>
        </w:rPr>
        <w:t>水、为消除对公共安全或者公共利益的危害临时应急取水的，应当在临时应急取（排）水结束后5个工作日内，向取水口所在地县级人民政府水行政主管部门备案。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以监测、勘探为目的的地下水取水工程，建设单位应当于施工前5个工作日内，向取水口所在地县级人民政府水行政主管部门备案。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备案应当提供取水单位或者个人的法定身份证明、取水备案申请表以及水行政主管部门规定的其他材料。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第二十条【建设方案备案】</w:t>
      </w:r>
      <w:r>
        <w:rPr>
          <w:rFonts w:hint="eastAsia" w:ascii="Times New Roman" w:hAnsi="Times New Roman" w:eastAsia="仿宋_GB2312" w:cs="Times New Roman"/>
          <w:b w:val="0"/>
          <w:bCs w:val="0"/>
          <w:kern w:val="2"/>
          <w:sz w:val="32"/>
          <w:szCs w:val="32"/>
          <w:lang w:val="en-US" w:eastAsia="zh-CN" w:bidi="ar-SA"/>
        </w:rPr>
        <w:t xml:space="preserve"> 建设单位和个人应当采取措施防止地下工程建设对地下水补给、径流、排泄等造成重大不利影响。对年疏干排水规模达到1万立方米以上的地下工程，建设单位和个人应当于工程开工前，将工程建设方案和防止对地下水产生不利影响的措施方案报有管理权限的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第二十一条【计量设施】</w:t>
      </w:r>
      <w:r>
        <w:rPr>
          <w:rFonts w:hint="eastAsia" w:ascii="Times New Roman" w:hAnsi="Times New Roman" w:eastAsia="仿宋_GB2312" w:cs="Times New Roman"/>
          <w:b w:val="0"/>
          <w:bCs w:val="0"/>
          <w:kern w:val="2"/>
          <w:sz w:val="32"/>
          <w:szCs w:val="32"/>
          <w:lang w:val="en-US" w:eastAsia="zh-CN" w:bidi="ar-SA"/>
        </w:rPr>
        <w:t xml:space="preserve"> 新建、改建、扩建地下水取水工程，应当同时安装计量设施并定期进行检定，保证计量设施正常运行。已有地下水取水工程未安装计量设施的，应当按照县级以上人民政府水行政主管部门规定的期限安装。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年许可</w:t>
      </w:r>
      <w:r>
        <w:rPr>
          <w:rFonts w:hint="eastAsia" w:ascii="Times New Roman" w:hAnsi="Times New Roman" w:eastAsia="仿宋_GB2312" w:cs="Times New Roman"/>
          <w:b w:val="0"/>
          <w:bCs w:val="0"/>
          <w:kern w:val="2"/>
          <w:sz w:val="32"/>
          <w:szCs w:val="32"/>
          <w:lang w:val="en-US" w:eastAsia="zh-CN" w:bidi="ar-SA"/>
        </w:rPr>
        <w:t>地下水量1万立方米以上的取水应当安装在线计量设施，并将计量数据实时传输到有管理权限的水行政主管部门。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矿产资源开采、地下工程建设年疏干排水量</w:t>
      </w:r>
      <w:r>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t>达到</w:t>
      </w:r>
      <w:r>
        <w:rPr>
          <w:rFonts w:hint="eastAsia" w:ascii="Times New Roman" w:hAnsi="Times New Roman" w:eastAsia="仿宋_GB2312" w:cs="Times New Roman"/>
          <w:b w:val="0"/>
          <w:bCs w:val="0"/>
          <w:kern w:val="2"/>
          <w:sz w:val="32"/>
          <w:szCs w:val="32"/>
          <w:lang w:val="en-US" w:eastAsia="zh-CN" w:bidi="ar-SA"/>
        </w:rPr>
        <w:t>1万立方米以上的，应当安装排水计量设施，定期向取水许可审批机关报送疏干排水量和地下水水位状况。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需要取水的地热能开发利用项目应当对取水和回灌进行计量，安装取水和回灌在线计量设施，并将计量数据实时传输到有管理权限的水行政主管部门。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第二十二条【疏干排水及地热能管理】</w:t>
      </w:r>
      <w:r>
        <w:rPr>
          <w:rFonts w:hint="eastAsia" w:ascii="Times New Roman" w:hAnsi="Times New Roman" w:eastAsia="仿宋_GB2312" w:cs="Times New Roman"/>
          <w:b w:val="0"/>
          <w:bCs w:val="0"/>
          <w:kern w:val="2"/>
          <w:sz w:val="32"/>
          <w:szCs w:val="32"/>
          <w:lang w:val="en-US" w:eastAsia="zh-CN" w:bidi="ar-SA"/>
        </w:rPr>
        <w:t xml:space="preserve"> 矿产资源开采、地下工程建设疏干排水应当优先回收利用，无法利用的，应当按照要求达标排放。涉及向水域排水的，应当经县级以上人民政府水行政主管部门批准。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禁止在集中式地下水饮用水水源地建设需要取水的地热能开发利用项目。禁止开采难以更新的地下水用于需要取水的地热能开发利用项目。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第二十三条【地下水节约利用】</w:t>
      </w:r>
      <w:r>
        <w:rPr>
          <w:rFonts w:hint="eastAsia" w:ascii="Times New Roman" w:hAnsi="Times New Roman" w:eastAsia="仿宋_GB2312" w:cs="Times New Roman"/>
          <w:b w:val="0"/>
          <w:bCs w:val="0"/>
          <w:sz w:val="32"/>
          <w:szCs w:val="32"/>
          <w:lang w:val="en-US" w:eastAsia="zh-CN"/>
        </w:rPr>
        <w:t xml:space="preserve"> 县级以上人民政府及其农业农村等部门应当采取</w:t>
      </w:r>
      <w:r>
        <w:rPr>
          <w:rFonts w:hint="eastAsia" w:ascii="Times New Roman" w:hAnsi="Times New Roman" w:eastAsia="仿宋_GB2312" w:cs="Times New Roman"/>
          <w:b w:val="0"/>
          <w:bCs w:val="0"/>
          <w:sz w:val="32"/>
          <w:szCs w:val="32"/>
          <w:highlight w:val="none"/>
          <w:lang w:val="en-US" w:eastAsia="zh-CN"/>
        </w:rPr>
        <w:t>保障建设投入、价格补贴、信贷支持</w:t>
      </w:r>
      <w:r>
        <w:rPr>
          <w:rFonts w:hint="eastAsia" w:ascii="Times New Roman" w:hAnsi="Times New Roman" w:eastAsia="仿宋_GB2312" w:cs="Times New Roman"/>
          <w:b w:val="0"/>
          <w:bCs w:val="0"/>
          <w:sz w:val="32"/>
          <w:szCs w:val="32"/>
          <w:lang w:val="en-US" w:eastAsia="zh-CN"/>
        </w:rPr>
        <w:t>等措施，推广先进节约用水技术、工艺和设备，支持和推动节水灌溉工程设施建设，引导农业生产经营主体合理调整种植养殖结构和农业用水结构，提高用水效率。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第二十四条【集中式饮用水水源地管理】</w:t>
      </w:r>
      <w:r>
        <w:rPr>
          <w:rFonts w:hint="eastAsia" w:ascii="Times New Roman" w:hAnsi="Times New Roman" w:eastAsia="仿宋_GB2312" w:cs="Times New Roman"/>
          <w:b w:val="0"/>
          <w:bCs w:val="0"/>
          <w:sz w:val="32"/>
          <w:szCs w:val="32"/>
          <w:lang w:val="en-US" w:eastAsia="zh-CN"/>
        </w:rPr>
        <w:t xml:space="preserve"> 自治区人民政府水行政主管部门应当会同生态环境、自然资源等部门制定集中式地下水饮用水水源地名录。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县级以上人民政府水行政主管部门应当会同自然资源、生态环境等部门按年度开展集中式地下水饮用水水源地安全评估并编制报告，报上一级人民政府水行政主管部门备案。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县级以上人民政府自然资源主管部门应当对地下水饮用水水源地可开采量进行调查评估；地下水饮用水水源地使用年限到期的，两年内应当再次开展调查评估。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第二十五条【地下水饮用水水源保护区划定】</w:t>
      </w:r>
      <w:r>
        <w:rPr>
          <w:rFonts w:hint="eastAsia" w:ascii="Times New Roman" w:hAnsi="Times New Roman" w:eastAsia="仿宋_GB2312" w:cs="Times New Roman"/>
          <w:b w:val="0"/>
          <w:bCs w:val="0"/>
          <w:sz w:val="32"/>
          <w:szCs w:val="32"/>
          <w:lang w:val="en-US" w:eastAsia="zh-CN"/>
        </w:rPr>
        <w:t xml:space="preserve"> 设区的市、县（市、区）人民政府应当组织生态环境、水行政、自然资源、卫生健康、住房和城乡建设等部门，编制地下水饮用水水源保护区划定方案，经自治区人民政府批准后划定，依法设立明确的地理界标和明显的警示标志，并对饮用水水源保护区污染防治实施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 xml:space="preserve">第二十六条【地下水饮用水水源保护区调整与撤销】 </w:t>
      </w:r>
      <w:r>
        <w:rPr>
          <w:rFonts w:hint="eastAsia" w:ascii="Times New Roman" w:hAnsi="Times New Roman" w:eastAsia="仿宋_GB2312" w:cs="Times New Roman"/>
          <w:b w:val="0"/>
          <w:bCs w:val="0"/>
          <w:sz w:val="32"/>
          <w:szCs w:val="32"/>
          <w:lang w:val="en-US" w:eastAsia="zh-CN"/>
        </w:rPr>
        <w:t>具备下列情形之一的，设区的市、县（市、区）人民政府可以向自治区人民政府申请调整地下水饮用水水源保护区：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（一）饮用水水源保护区范围与现行饮用水水源保护区划分技术规范有重大冲突的；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（二）饮用水水源保护区范围不能满足饮用水水源水质保护要求的；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w:t>
      </w:r>
      <w:r>
        <w:rPr>
          <w:rFonts w:hint="eastAsia" w:ascii="Times New Roman" w:hAnsi="Times New Roman" w:eastAsia="仿宋_GB2312" w:cs="Times New Roman"/>
          <w:b w:val="0"/>
          <w:bCs w:val="0"/>
          <w:color w:val="auto"/>
          <w:sz w:val="32"/>
          <w:szCs w:val="32"/>
          <w:highlight w:val="none"/>
          <w:lang w:val="en-US" w:eastAsia="zh-CN"/>
        </w:rPr>
        <w:t>取水水源规模</w:t>
      </w:r>
      <w:r>
        <w:rPr>
          <w:rFonts w:hint="eastAsia" w:ascii="Times New Roman" w:hAnsi="Times New Roman" w:eastAsia="仿宋_GB2312" w:cs="Times New Roman"/>
          <w:b w:val="0"/>
          <w:bCs w:val="0"/>
          <w:sz w:val="32"/>
          <w:szCs w:val="32"/>
          <w:lang w:val="en-US" w:eastAsia="zh-CN"/>
        </w:rPr>
        <w:t>、取水口位置、取水量等发生重大变化的；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（四）其他需要调整饮用水水源保护区的情形。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确定不再作为饮用水水源的，由有关设区的市、县（市、区）人民政府申请撤销饮用水水源保护区，报自治区人民政府批准。申请撤销饮用水水源保护区的应当说明撤销原因，并提供饮用水水源取消的证明材料以及水源替代情况等资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第二十七条【应急备用饮用水水源管理】</w:t>
      </w:r>
      <w:r>
        <w:rPr>
          <w:rFonts w:hint="eastAsia" w:ascii="Times New Roman" w:hAnsi="Times New Roman" w:eastAsia="仿宋_GB2312" w:cs="Times New Roman"/>
          <w:b w:val="0"/>
          <w:bCs w:val="0"/>
          <w:sz w:val="32"/>
          <w:szCs w:val="32"/>
          <w:lang w:val="en-US" w:eastAsia="zh-CN"/>
        </w:rPr>
        <w:t xml:space="preserve"> 县级以上人民政府应当根据地下水水源条件和需要，建设地下水应急备用饮用水水源，制定应急预案，明确应急取水情形、组织机构、响应措施、处置机制、供水安全保障措施等重点内容。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应急备用饮用水供水单位应当依法办理取水许可，制定饮用水安全突发事件应急预案，加强供水设施的管理与维护，定期对地下水取水口、水泵、输（配）水管网等设施检查维修，确保需要时正常使用。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第二十八条【微咸水利用】</w:t>
      </w:r>
      <w:r>
        <w:rPr>
          <w:rFonts w:hint="eastAsia" w:ascii="Times New Roman" w:hAnsi="Times New Roman" w:eastAsia="仿宋_GB2312" w:cs="Times New Roman"/>
          <w:b w:val="0"/>
          <w:bCs w:val="0"/>
          <w:sz w:val="32"/>
          <w:szCs w:val="32"/>
          <w:lang w:val="en-US" w:eastAsia="zh-CN"/>
        </w:rPr>
        <w:t xml:space="preserve"> 县级以上人民政府在地下水水位管控范围内，鼓励采取适用的淡化技术，分区分类利用微咸水，支持微咸水采用直接利用、咸淡混用和咸淡轮用等方式用于国土绿化和农业灌溉。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超采治理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第二十九条【禁限采区划定】</w:t>
      </w:r>
      <w:r>
        <w:rPr>
          <w:rFonts w:hint="eastAsia" w:ascii="Times New Roman" w:hAnsi="Times New Roman" w:eastAsia="仿宋_GB2312" w:cs="Times New Roman"/>
          <w:b w:val="0"/>
          <w:bCs w:val="0"/>
          <w:sz w:val="32"/>
          <w:szCs w:val="32"/>
          <w:lang w:val="en-US" w:eastAsia="zh-CN"/>
        </w:rPr>
        <w:t xml:space="preserve"> 自治区人民政府水行政主管部门应当会同自然资源等主管部门依据国家公布的地下水超采区，统筹考虑地下水利用情况、地质环境条件等因素，科学划定本行政区域内地下水禁止开采区、限制开采区，经自治区人民政府批准后公布，并报国务院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地下水禁止开采区、限制开采区划定后，确需调整的，应当按照原划定程序进行调整。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 xml:space="preserve">第三十条【分区管理】 </w:t>
      </w:r>
      <w:r>
        <w:rPr>
          <w:rFonts w:hint="eastAsia" w:ascii="Times New Roman" w:hAnsi="Times New Roman" w:eastAsia="仿宋_GB2312" w:cs="Times New Roman"/>
          <w:b w:val="0"/>
          <w:bCs w:val="0"/>
          <w:sz w:val="32"/>
          <w:szCs w:val="32"/>
          <w:lang w:val="en-US" w:eastAsia="zh-CN"/>
        </w:rPr>
        <w:t>县级以上人民政府应当根据自治区划定公布的地下水禁止开采区、限制开采区实行差别化管控。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除法律法规规定的可取水情形外，在地下水禁止开采区内禁止取用地下水；在地下水限制开采区内禁止新增取用地下水，并逐步削减地下水取水量。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 xml:space="preserve">第三十一条【超采区综合治理】 </w:t>
      </w:r>
      <w:r>
        <w:rPr>
          <w:rFonts w:hint="eastAsia" w:ascii="Times New Roman" w:hAnsi="Times New Roman" w:eastAsia="仿宋_GB2312" w:cs="Times New Roman"/>
          <w:b w:val="0"/>
          <w:bCs w:val="0"/>
          <w:sz w:val="32"/>
          <w:szCs w:val="32"/>
          <w:lang w:val="en-US" w:eastAsia="zh-CN"/>
        </w:rPr>
        <w:t>自治区人民政府水行政主管部门应当会同本级有关部门，编制本行政区域地下水超采综合治理方案，经自治区人民政府批准后，报国务院水行政主管部门备案。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地下水超采区所在的设区的市人民政府水行政主管部门应当会同本级有关部门，编制本行政区域地下水超采综合治理方案，报本级人民政府批准后实施，并向上级水行政主管部门备案。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地下水超采区所在的县级人民政府水行政主管部门应当会同本级有关部门，编制超采区治理年度工作计划，并报本级人民政府批准后实施。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 xml:space="preserve">第三十二条【超采区管理】 </w:t>
      </w:r>
      <w:r>
        <w:rPr>
          <w:rFonts w:hint="eastAsia" w:ascii="Times New Roman" w:hAnsi="Times New Roman" w:eastAsia="仿宋_GB2312" w:cs="Times New Roman"/>
          <w:b w:val="0"/>
          <w:bCs w:val="0"/>
          <w:sz w:val="32"/>
          <w:szCs w:val="32"/>
          <w:lang w:val="en-US" w:eastAsia="zh-CN"/>
        </w:rPr>
        <w:t>县级以上人民政府应当加强地下水超采区的节水管理，健全完善节水制度和节水激励机制，适度压减高耗水农作物，鼓励通过节水改造、水源置换、休耕雨养、种植结构调整等措施压减农业取用地下水。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地下水超采</w:t>
      </w:r>
      <w:r>
        <w:rPr>
          <w:rFonts w:hint="eastAsia" w:ascii="Times New Roman" w:hAnsi="Times New Roman" w:eastAsia="仿宋_GB2312" w:cs="Times New Roman"/>
          <w:b w:val="0"/>
          <w:bCs w:val="0"/>
          <w:color w:val="auto"/>
          <w:sz w:val="32"/>
          <w:szCs w:val="32"/>
          <w:highlight w:val="none"/>
          <w:lang w:val="en-US" w:eastAsia="zh-CN"/>
        </w:rPr>
        <w:t>地区</w:t>
      </w:r>
      <w:r>
        <w:rPr>
          <w:rFonts w:hint="eastAsia" w:ascii="Times New Roman" w:hAnsi="Times New Roman" w:eastAsia="仿宋_GB2312" w:cs="Times New Roman"/>
          <w:b w:val="0"/>
          <w:bCs w:val="0"/>
          <w:sz w:val="32"/>
          <w:szCs w:val="32"/>
          <w:lang w:val="en-US" w:eastAsia="zh-CN"/>
        </w:rPr>
        <w:t>应当严格控制高耗水产业项目建设，禁止新建并限期淘汰不符合国家产业政策的高耗水产业项目。</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章</w:t>
      </w:r>
      <w:r>
        <w:rPr>
          <w:rFonts w:hint="eastAsia" w:ascii="黑体" w:hAnsi="黑体" w:eastAsia="黑体" w:cs="黑体"/>
          <w:sz w:val="32"/>
          <w:szCs w:val="32"/>
          <w:lang w:val="en-US" w:eastAsia="zh-CN"/>
        </w:rPr>
        <w:t xml:space="preserve">  污染防治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黑体" w:hAnsi="黑体" w:eastAsia="黑体" w:cs="黑体"/>
          <w:kern w:val="2"/>
          <w:sz w:val="32"/>
          <w:szCs w:val="32"/>
          <w:lang w:val="en-US" w:eastAsia="zh-CN" w:bidi="ar-SA"/>
        </w:rPr>
        <w:t xml:space="preserve">第三十三条【防治体系】 </w:t>
      </w:r>
      <w:r>
        <w:rPr>
          <w:rFonts w:hint="default" w:ascii="Times New Roman" w:hAnsi="Times New Roman" w:eastAsia="仿宋_GB2312" w:cs="Times New Roman"/>
          <w:b w:val="0"/>
          <w:bCs w:val="0"/>
          <w:sz w:val="32"/>
          <w:szCs w:val="32"/>
          <w:lang w:val="en-US" w:eastAsia="zh-CN"/>
        </w:rPr>
        <w:t>自治区、设区的市人民政府生态环境主管部门应当会同水行政、自然资源等主管部门，建立地下水污染防治管理体系，根据本行政区域内地下水污染防治需要划定地下水污染防治重点区，实施地下水分区管理、分级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黑体" w:hAnsi="黑体" w:eastAsia="黑体" w:cs="黑体"/>
          <w:kern w:val="2"/>
          <w:sz w:val="32"/>
          <w:szCs w:val="32"/>
          <w:lang w:val="en-US" w:eastAsia="zh-CN" w:bidi="ar-SA"/>
        </w:rPr>
        <w:t>第三十四条【重点区域污染防治】</w:t>
      </w:r>
      <w:r>
        <w:rPr>
          <w:rFonts w:hint="default" w:ascii="Times New Roman" w:hAnsi="Times New Roman" w:eastAsia="仿宋_GB2312" w:cs="Times New Roman"/>
          <w:b w:val="0"/>
          <w:bCs w:val="0"/>
          <w:sz w:val="32"/>
          <w:szCs w:val="32"/>
          <w:lang w:val="en-US" w:eastAsia="zh-CN"/>
        </w:rPr>
        <w:t xml:space="preserve"> 县级以上人民政府应当对沿河道、湖泊的垃圾填埋场、加油站、储油库、矿山、尾矿库、危险废物处置场、化工园区和化工项目等地下水重点污染源及周边地下水环境风险隐患组织开展调查评估，采取风险防范和整治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黑体" w:hAnsi="黑体" w:eastAsia="黑体" w:cs="黑体"/>
          <w:kern w:val="2"/>
          <w:sz w:val="32"/>
          <w:szCs w:val="32"/>
          <w:lang w:val="en-US" w:eastAsia="zh-CN" w:bidi="ar-SA"/>
        </w:rPr>
        <w:t>第三十五条【重点单位污染防治】</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自治区、设区的市人民政府生态环境主管部门应当商有关部门制定并公布地下水污染防治重点排污单位和土壤污染重点监管单位名录。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地下水污染防治重点排污单位应当依法安装水污染物排放自动监测设备，与生态环境主管部门的监控设备联网，并保证监测设备正常运行。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土壤污染重点监管单位应当建立土壤污染隐患排查制度</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严格控制有毒有害物质排放</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因地制宜实施防渗改造，制定并实施自行监测方案，并将监测数据报生态环境主管部门。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第三十六条【农业灌溉用水污染防治】</w:t>
      </w:r>
      <w:r>
        <w:rPr>
          <w:rFonts w:hint="eastAsia" w:ascii="Times New Roman" w:hAnsi="Times New Roman" w:eastAsia="仿宋_GB2312" w:cs="Times New Roman"/>
          <w:b w:val="0"/>
          <w:bCs w:val="0"/>
          <w:sz w:val="32"/>
          <w:szCs w:val="32"/>
          <w:lang w:val="en-US" w:eastAsia="zh-CN"/>
        </w:rPr>
        <w:t xml:space="preserve"> 县级以上人民政府及其农业农村等有关部门应当加强农药、肥料等农业投入品使用指导和技术服务，鼓励和引导农业生产经营者等有关单位和个人合理使用农药、肥料等农业投入品，采取安装逆止阀等必要措施，防止地下水污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章</w:t>
      </w:r>
      <w:r>
        <w:rPr>
          <w:rFonts w:hint="eastAsia" w:ascii="黑体" w:hAnsi="黑体" w:eastAsia="黑体" w:cs="黑体"/>
          <w:sz w:val="32"/>
          <w:szCs w:val="32"/>
          <w:lang w:val="en-US" w:eastAsia="zh-CN"/>
        </w:rPr>
        <w:t xml:space="preserve">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黑体" w:hAnsi="黑体" w:eastAsia="黑体" w:cs="黑体"/>
          <w:kern w:val="2"/>
          <w:sz w:val="32"/>
          <w:szCs w:val="32"/>
          <w:lang w:val="en-US" w:eastAsia="zh-CN" w:bidi="ar-SA"/>
        </w:rPr>
        <w:t xml:space="preserve">第三十七条【地下水监管】 </w:t>
      </w:r>
      <w:r>
        <w:rPr>
          <w:rFonts w:hint="default" w:ascii="Times New Roman" w:hAnsi="Times New Roman" w:eastAsia="仿宋_GB2312" w:cs="Times New Roman"/>
          <w:b w:val="0"/>
          <w:bCs w:val="0"/>
          <w:sz w:val="32"/>
          <w:szCs w:val="32"/>
          <w:lang w:val="en-US" w:eastAsia="zh-CN"/>
        </w:rPr>
        <w:t>县级以上人民政府水行政、自然资源、生态环境等主管部门应当依照职责开展地下水监督管理工作，完善地下水监测工作体系，建设地下水监测站网，及时采集、储存、传输、处理监测数据，实现地下水动态监测。</w:t>
      </w:r>
      <w:r>
        <w:rPr>
          <w:rFonts w:hint="default" w:ascii="Times New Roman" w:hAnsi="Times New Roman" w:eastAsia="仿宋_GB2312" w:cs="Times New Roman"/>
          <w:b w:val="0"/>
          <w:bCs w:val="0"/>
          <w:sz w:val="32"/>
          <w:szCs w:val="32"/>
          <w:lang w:val="en-US" w:eastAsia="zh-CN"/>
        </w:rPr>
        <w:fldChar w:fldCharType="begin"/>
      </w:r>
      <w:r>
        <w:rPr>
          <w:rFonts w:hint="default" w:ascii="Times New Roman" w:hAnsi="Times New Roman" w:eastAsia="仿宋_GB2312" w:cs="Times New Roman"/>
          <w:b w:val="0"/>
          <w:bCs w:val="0"/>
          <w:sz w:val="32"/>
          <w:szCs w:val="32"/>
          <w:lang w:val="en-US" w:eastAsia="zh-CN"/>
        </w:rPr>
        <w:instrText xml:space="preserve"> HYPERLINK "javascript:void(0);" </w:instrText>
      </w:r>
      <w:r>
        <w:rPr>
          <w:rFonts w:hint="default" w:ascii="Times New Roman" w:hAnsi="Times New Roman" w:eastAsia="仿宋_GB2312" w:cs="Times New Roman"/>
          <w:b w:val="0"/>
          <w:bCs w:val="0"/>
          <w:sz w:val="32"/>
          <w:szCs w:val="32"/>
          <w:lang w:val="en-US" w:eastAsia="zh-CN"/>
        </w:rPr>
        <w:fldChar w:fldCharType="separate"/>
      </w:r>
      <w:r>
        <w:rPr>
          <w:rFonts w:hint="default" w:ascii="Times New Roman" w:hAnsi="Times New Roman" w:eastAsia="仿宋_GB2312" w:cs="Times New Roman"/>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自治区人民政府水行政主管部门应当会同自然资源、生态环境等主管部门建立地下水监测信息共享机制。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黑体" w:hAnsi="黑体" w:eastAsia="黑体" w:cs="黑体"/>
          <w:kern w:val="2"/>
          <w:sz w:val="32"/>
          <w:szCs w:val="32"/>
          <w:lang w:val="en-US" w:eastAsia="zh-CN" w:bidi="ar-SA"/>
        </w:rPr>
        <w:t>第三十八条【水位通报】</w:t>
      </w:r>
      <w:r>
        <w:rPr>
          <w:rFonts w:hint="default" w:ascii="Times New Roman" w:hAnsi="Times New Roman" w:eastAsia="仿宋_GB2312" w:cs="Times New Roman"/>
          <w:b w:val="0"/>
          <w:bCs w:val="0"/>
          <w:sz w:val="32"/>
          <w:szCs w:val="32"/>
          <w:lang w:val="en-US" w:eastAsia="zh-CN"/>
        </w:rPr>
        <w:t xml:space="preserve"> 自治区人民政府水行政主管部门应当会同自然资源等主管部门建立地下水水位变化通报机制，对地下水水位动态跟踪和分析预警，定期通报超水位控制指标、地下水水位持续下降等情况，并通报相关人民政府及其有关部门及时采取相应预防、治理或者补救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 xml:space="preserve">第三十九条【工程管理】 </w:t>
      </w:r>
      <w:r>
        <w:rPr>
          <w:rFonts w:hint="eastAsia" w:ascii="Times New Roman" w:hAnsi="Times New Roman" w:eastAsia="仿宋_GB2312" w:cs="Times New Roman"/>
          <w:b w:val="0"/>
          <w:bCs w:val="0"/>
          <w:sz w:val="32"/>
          <w:szCs w:val="32"/>
          <w:lang w:val="en-US" w:eastAsia="zh-CN"/>
        </w:rPr>
        <w:t>县级以上人民政府水行政主管部门应当建立地下水取水工程监督管理制度，对本行政区域内的地下水取水工程实行动态管理并登记造册。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报废的矿井、钻井、地下水取水工程，或者未建成、已完成勘探任务、依法应当停止取水的地下水取水工程，应当按照有关规定封井或者回填。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对依法需要封井或者回填但成井条件好、水质水量有保证、具备改建条件的地下水取水工程，由县级人民政府水行政、自然资源、生态环境等主管部门组织改建后纳入监测站网统一管理。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第四十条【监测设施保护】</w:t>
      </w:r>
      <w:r>
        <w:rPr>
          <w:rFonts w:hint="eastAsia" w:ascii="Times New Roman" w:hAnsi="Times New Roman" w:eastAsia="仿宋_GB2312" w:cs="Times New Roman"/>
          <w:b w:val="0"/>
          <w:bCs w:val="0"/>
          <w:sz w:val="32"/>
          <w:szCs w:val="32"/>
          <w:lang w:val="en-US" w:eastAsia="zh-CN"/>
        </w:rPr>
        <w:t xml:space="preserve"> 任何单位和个人不得侵占、毁坏或者擅自移动地下水监测设施设备及其标志。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新建、改建、扩建建设工程应当避开地下水监测设施设备；确实无法避开、需要拆除地下水监测设施设备的，应当由县级以上人民政府水行政、自然资源、生态环境等主管部门按照有关技术要求组织迁建，迁建费用由建设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任何单位和个人不得篡改、伪造地下水监测数据。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2"/>
          <w:sz w:val="32"/>
          <w:szCs w:val="32"/>
          <w:lang w:val="en-US" w:eastAsia="zh-CN" w:bidi="ar-SA"/>
        </w:rPr>
        <w:t>第四十一条【举报奖励】</w:t>
      </w:r>
      <w:r>
        <w:rPr>
          <w:rFonts w:hint="eastAsia" w:ascii="Times New Roman" w:hAnsi="Times New Roman" w:eastAsia="仿宋_GB2312" w:cs="Times New Roman"/>
          <w:b w:val="0"/>
          <w:bCs w:val="0"/>
          <w:sz w:val="32"/>
          <w:szCs w:val="32"/>
          <w:lang w:val="en-US" w:eastAsia="zh-CN"/>
        </w:rPr>
        <w:t xml:space="preserve"> 任何单位和个人有权对违法开采地下水、损毁地下取水工程、监测设施、破坏和污染地下水等行为进行投诉举报。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县级以上人民政府水行政等有关主管部门应当建立健全投诉举报制度，依法受理投诉举报，及时核实并查处，并将查处结果予以反馈。对查证属实的举报，应当依照有关规定予以奖励。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kern w:val="2"/>
          <w:sz w:val="32"/>
          <w:szCs w:val="32"/>
          <w:lang w:val="en-US" w:eastAsia="zh-CN" w:bidi="ar-SA"/>
        </w:rPr>
        <w:t xml:space="preserve">第四十二条【诚信档案及信用体系】 </w:t>
      </w:r>
      <w:r>
        <w:rPr>
          <w:rFonts w:hint="eastAsia" w:ascii="Times New Roman" w:hAnsi="Times New Roman" w:eastAsia="仿宋_GB2312" w:cs="Times New Roman"/>
          <w:b w:val="0"/>
          <w:bCs w:val="0"/>
          <w:sz w:val="32"/>
          <w:szCs w:val="32"/>
          <w:lang w:val="en-US" w:eastAsia="zh-CN"/>
        </w:rPr>
        <w:t>县级以上人民政府水行政、自然资源、生态环境等主管部门应当建立从事地下水节约、保护、利用活动的单位和个人的诚信档案，记录日常监督检查结果、违法行为查处等情况，依法及时向社会公示。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章</w:t>
      </w:r>
      <w:r>
        <w:rPr>
          <w:rFonts w:hint="eastAsia" w:ascii="黑体" w:hAnsi="黑体" w:eastAsia="黑体" w:cs="黑体"/>
          <w:sz w:val="32"/>
          <w:szCs w:val="32"/>
          <w:lang w:val="en-US" w:eastAsia="zh-CN"/>
        </w:rPr>
        <w:t xml:space="preserve">  法律责任</w:t>
      </w:r>
    </w:p>
    <w:p>
      <w:pPr>
        <w:keepNext w:val="0"/>
        <w:keepLines w:val="0"/>
        <w:pageBreakBefore w:val="0"/>
        <w:widowControl w:val="0"/>
        <w:tabs>
          <w:tab w:val="left" w:pos="1050"/>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kern w:val="2"/>
          <w:sz w:val="32"/>
          <w:szCs w:val="32"/>
          <w:lang w:val="en-US" w:eastAsia="zh-CN" w:bidi="ar-SA"/>
        </w:rPr>
      </w:pPr>
    </w:p>
    <w:p>
      <w:pPr>
        <w:keepNext w:val="0"/>
        <w:keepLines w:val="0"/>
        <w:pageBreakBefore w:val="0"/>
        <w:widowControl w:val="0"/>
        <w:tabs>
          <w:tab w:val="left" w:pos="105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黑体" w:hAnsi="黑体" w:eastAsia="黑体" w:cs="黑体"/>
          <w:kern w:val="2"/>
          <w:sz w:val="32"/>
          <w:szCs w:val="32"/>
          <w:lang w:val="en-US" w:eastAsia="zh-CN" w:bidi="ar-SA"/>
        </w:rPr>
        <w:t>第</w:t>
      </w:r>
      <w:r>
        <w:rPr>
          <w:rFonts w:hint="eastAsia" w:ascii="黑体" w:hAnsi="黑体" w:eastAsia="黑体" w:cs="黑体"/>
          <w:kern w:val="2"/>
          <w:sz w:val="32"/>
          <w:szCs w:val="32"/>
          <w:lang w:val="en-US" w:eastAsia="zh-CN" w:bidi="ar-SA"/>
        </w:rPr>
        <w:t>四十三条【法律责任衔接】</w:t>
      </w:r>
      <w:r>
        <w:rPr>
          <w:rFonts w:hint="eastAsia" w:ascii="Times New Roman" w:hAnsi="Times New Roman" w:eastAsia="仿宋_GB2312" w:cs="Times New Roman"/>
          <w:b w:val="0"/>
          <w:bCs w:val="0"/>
          <w:sz w:val="32"/>
          <w:szCs w:val="32"/>
          <w:lang w:val="en-US" w:eastAsia="zh-CN"/>
        </w:rPr>
        <w:t xml:space="preserve"> 违反本办法规定，法律法规已有处罚规定的，从其规定。</w:t>
      </w:r>
    </w:p>
    <w:p>
      <w:pPr>
        <w:pStyle w:val="2"/>
        <w:keepNext w:val="0"/>
        <w:keepLines w:val="0"/>
        <w:pageBreakBefore w:val="0"/>
        <w:widowControl w:val="0"/>
        <w:tabs>
          <w:tab w:val="left" w:pos="105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kern w:val="2"/>
          <w:sz w:val="32"/>
          <w:szCs w:val="32"/>
          <w:lang w:val="en-US" w:eastAsia="zh-CN" w:bidi="ar-SA"/>
        </w:rPr>
        <w:t xml:space="preserve">第四十四条【政府部门及其工作人员法律责任】 </w:t>
      </w:r>
      <w:r>
        <w:rPr>
          <w:rFonts w:hint="eastAsia" w:ascii="Times New Roman" w:hAnsi="Times New Roman" w:eastAsia="仿宋_GB2312" w:cs="Times New Roman"/>
          <w:b w:val="0"/>
          <w:bCs w:val="0"/>
          <w:kern w:val="2"/>
          <w:sz w:val="32"/>
          <w:szCs w:val="32"/>
          <w:lang w:val="en-US" w:eastAsia="zh-CN" w:bidi="ar-SA"/>
        </w:rPr>
        <w:t>县级以上人民政府和负有地下水监督管理职责的部门及其工作人员，滥用职权、玩忽职守、徇私舞弊的，由上级机关责令改正，对负有责任的主管人员和其他直接责任人员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黑体" w:hAnsi="黑体" w:eastAsia="黑体" w:cs="黑体"/>
          <w:kern w:val="2"/>
          <w:sz w:val="32"/>
          <w:szCs w:val="32"/>
          <w:lang w:val="en-US" w:eastAsia="zh-CN" w:bidi="ar-SA"/>
        </w:rPr>
        <w:t>第四十</w:t>
      </w:r>
      <w:r>
        <w:rPr>
          <w:rFonts w:hint="eastAsia" w:ascii="黑体" w:hAnsi="黑体" w:eastAsia="黑体" w:cs="黑体"/>
          <w:kern w:val="2"/>
          <w:sz w:val="32"/>
          <w:szCs w:val="32"/>
          <w:lang w:val="en-US" w:eastAsia="zh" w:bidi="ar-SA"/>
        </w:rPr>
        <w:t>五</w:t>
      </w:r>
      <w:r>
        <w:rPr>
          <w:rFonts w:hint="default" w:ascii="黑体" w:hAnsi="黑体" w:eastAsia="黑体" w:cs="黑体"/>
          <w:kern w:val="2"/>
          <w:sz w:val="32"/>
          <w:szCs w:val="32"/>
          <w:lang w:val="en-US" w:eastAsia="zh-CN" w:bidi="ar-SA"/>
        </w:rPr>
        <w:t>条【其他责任】</w:t>
      </w:r>
      <w:r>
        <w:rPr>
          <w:rFonts w:hint="default" w:ascii="Times New Roman" w:hAnsi="Times New Roman" w:eastAsia="仿宋_GB2312" w:cs="Times New Roman"/>
          <w:b w:val="0"/>
          <w:bCs w:val="0"/>
          <w:kern w:val="2"/>
          <w:sz w:val="32"/>
          <w:szCs w:val="32"/>
          <w:lang w:val="en-US" w:eastAsia="zh-CN" w:bidi="ar-SA"/>
        </w:rPr>
        <w:t xml:space="preserve"> 违反本办法规定，构成违反治安管理行为的，由公安机关依法给予治安管理处罚；构成犯罪的，依法追究刑事责任。</w:t>
      </w:r>
    </w:p>
    <w:p>
      <w:pPr>
        <w:pStyle w:val="4"/>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pStyle w:val="2"/>
        <w:numPr>
          <w:numId w:val="0"/>
        </w:numPr>
        <w:ind w:leftChars="40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宋体" w:cs="Times New Roman"/>
          <w:lang w:val="en-US" w:eastAsia="zh-CN"/>
        </w:rPr>
      </w:pPr>
      <w:r>
        <w:rPr>
          <w:rFonts w:hint="default" w:ascii="黑体" w:hAnsi="黑体" w:eastAsia="黑体" w:cs="黑体"/>
          <w:kern w:val="2"/>
          <w:sz w:val="32"/>
          <w:szCs w:val="32"/>
          <w:lang w:val="en-US" w:eastAsia="zh-CN" w:bidi="ar-SA"/>
        </w:rPr>
        <w:t>第四十</w:t>
      </w:r>
      <w:r>
        <w:rPr>
          <w:rFonts w:hint="eastAsia" w:ascii="黑体" w:hAnsi="黑体" w:eastAsia="黑体" w:cs="黑体"/>
          <w:kern w:val="2"/>
          <w:sz w:val="32"/>
          <w:szCs w:val="32"/>
          <w:lang w:val="en-US" w:eastAsia="zh" w:bidi="ar-SA"/>
        </w:rPr>
        <w:t>六</w:t>
      </w:r>
      <w:r>
        <w:rPr>
          <w:rFonts w:hint="default" w:ascii="黑体" w:hAnsi="黑体" w:eastAsia="黑体" w:cs="黑体"/>
          <w:kern w:val="2"/>
          <w:sz w:val="32"/>
          <w:szCs w:val="32"/>
          <w:lang w:val="en-US" w:eastAsia="zh-CN" w:bidi="ar-SA"/>
        </w:rPr>
        <w:t>条【施行日期】</w:t>
      </w:r>
      <w:r>
        <w:rPr>
          <w:rFonts w:hint="default" w:ascii="Times New Roman" w:hAnsi="Times New Roman" w:eastAsia="仿宋_GB2312" w:cs="Times New Roman"/>
          <w:b w:val="0"/>
          <w:bCs w:val="0"/>
          <w:sz w:val="32"/>
          <w:szCs w:val="32"/>
          <w:lang w:val="en-US" w:eastAsia="zh-CN"/>
        </w:rPr>
        <w:t xml:space="preserve"> 本办法自2024年 月 日起施行。</w:t>
      </w:r>
    </w:p>
    <w:sectPr>
      <w:footerReference r:id="rId3" w:type="default"/>
      <w:pgSz w:w="11905" w:h="16838"/>
      <w:pgMar w:top="2098" w:right="1474" w:bottom="1984" w:left="1587"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姚体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汉仪大宋简">
    <w:panose1 w:val="02010600000101010101"/>
    <w:charset w:val="86"/>
    <w:family w:val="auto"/>
    <w:pitch w:val="default"/>
    <w:sig w:usb0="00000001" w:usb1="080E0800" w:usb2="00000002" w:usb3="00000000" w:csb0="00040000" w:csb1="00000000"/>
  </w:font>
  <w:font w:name="汉仪方隶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BDB16"/>
    <w:multiLevelType w:val="singleLevel"/>
    <w:tmpl w:val="ABBBDB16"/>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2"/>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TFiOGNmZWI0YzkyMjY3MTVkNTAwZGM4MzFmNDgifQ=="/>
  </w:docVars>
  <w:rsids>
    <w:rsidRoot w:val="6FBF2ABA"/>
    <w:rsid w:val="001E4E0F"/>
    <w:rsid w:val="00960F19"/>
    <w:rsid w:val="011E3D92"/>
    <w:rsid w:val="014411B5"/>
    <w:rsid w:val="01802C9E"/>
    <w:rsid w:val="02781BC8"/>
    <w:rsid w:val="02E334E5"/>
    <w:rsid w:val="03321D76"/>
    <w:rsid w:val="037C1244"/>
    <w:rsid w:val="0397607D"/>
    <w:rsid w:val="04461F7D"/>
    <w:rsid w:val="04E9233C"/>
    <w:rsid w:val="058A5196"/>
    <w:rsid w:val="060C68AF"/>
    <w:rsid w:val="063A3E50"/>
    <w:rsid w:val="068648B3"/>
    <w:rsid w:val="06CC4A19"/>
    <w:rsid w:val="07A66083"/>
    <w:rsid w:val="07D57174"/>
    <w:rsid w:val="08A234FA"/>
    <w:rsid w:val="08A27047"/>
    <w:rsid w:val="08FA0FFE"/>
    <w:rsid w:val="092C1A01"/>
    <w:rsid w:val="09C37BCC"/>
    <w:rsid w:val="0A506E87"/>
    <w:rsid w:val="0A656ED5"/>
    <w:rsid w:val="0A692EE2"/>
    <w:rsid w:val="0A7964DD"/>
    <w:rsid w:val="0AB319EF"/>
    <w:rsid w:val="0AFC15E8"/>
    <w:rsid w:val="0B795E0E"/>
    <w:rsid w:val="0B9D61FB"/>
    <w:rsid w:val="0BFC673C"/>
    <w:rsid w:val="0C4F050E"/>
    <w:rsid w:val="0C7228F0"/>
    <w:rsid w:val="0C741652"/>
    <w:rsid w:val="0D0B5B12"/>
    <w:rsid w:val="0D1534C3"/>
    <w:rsid w:val="0D18022F"/>
    <w:rsid w:val="0DA47D15"/>
    <w:rsid w:val="0DAB0FFC"/>
    <w:rsid w:val="0DDC125D"/>
    <w:rsid w:val="0E1C4EA4"/>
    <w:rsid w:val="0E533746"/>
    <w:rsid w:val="0E762BA4"/>
    <w:rsid w:val="0F5045ED"/>
    <w:rsid w:val="0FBF0E36"/>
    <w:rsid w:val="101271B8"/>
    <w:rsid w:val="10244EF8"/>
    <w:rsid w:val="1071412B"/>
    <w:rsid w:val="10D34B99"/>
    <w:rsid w:val="10EF74F9"/>
    <w:rsid w:val="11205904"/>
    <w:rsid w:val="138D589A"/>
    <w:rsid w:val="138E06FE"/>
    <w:rsid w:val="14291F27"/>
    <w:rsid w:val="147815B3"/>
    <w:rsid w:val="1478624B"/>
    <w:rsid w:val="14A01236"/>
    <w:rsid w:val="14F72A26"/>
    <w:rsid w:val="154D1CD8"/>
    <w:rsid w:val="15836462"/>
    <w:rsid w:val="15891CCA"/>
    <w:rsid w:val="15910B7E"/>
    <w:rsid w:val="16D43419"/>
    <w:rsid w:val="16F62D98"/>
    <w:rsid w:val="16FE3FF2"/>
    <w:rsid w:val="173F4C5A"/>
    <w:rsid w:val="179A61A3"/>
    <w:rsid w:val="17B63B9B"/>
    <w:rsid w:val="17C77A41"/>
    <w:rsid w:val="18282353"/>
    <w:rsid w:val="18650063"/>
    <w:rsid w:val="18A609BF"/>
    <w:rsid w:val="18DF7E53"/>
    <w:rsid w:val="192F0555"/>
    <w:rsid w:val="19BC296D"/>
    <w:rsid w:val="19D13C3F"/>
    <w:rsid w:val="19EB47FE"/>
    <w:rsid w:val="1A473F02"/>
    <w:rsid w:val="1ABA0419"/>
    <w:rsid w:val="1AD12CAF"/>
    <w:rsid w:val="1B6B0D73"/>
    <w:rsid w:val="1B7A01C3"/>
    <w:rsid w:val="1B8847D2"/>
    <w:rsid w:val="1B99660A"/>
    <w:rsid w:val="1C9471D5"/>
    <w:rsid w:val="1CBB31A7"/>
    <w:rsid w:val="1D547C65"/>
    <w:rsid w:val="1E674B72"/>
    <w:rsid w:val="1E995A80"/>
    <w:rsid w:val="1EDA63B8"/>
    <w:rsid w:val="1EE2069D"/>
    <w:rsid w:val="1F244811"/>
    <w:rsid w:val="1F4B6242"/>
    <w:rsid w:val="1F7E34F3"/>
    <w:rsid w:val="20FC73E8"/>
    <w:rsid w:val="21415B4F"/>
    <w:rsid w:val="21DE514B"/>
    <w:rsid w:val="21ED0155"/>
    <w:rsid w:val="222B5EB7"/>
    <w:rsid w:val="225F112A"/>
    <w:rsid w:val="22944EFA"/>
    <w:rsid w:val="232C54A8"/>
    <w:rsid w:val="235C6C70"/>
    <w:rsid w:val="236D2C2B"/>
    <w:rsid w:val="24025267"/>
    <w:rsid w:val="244A667B"/>
    <w:rsid w:val="24833D88"/>
    <w:rsid w:val="253902A6"/>
    <w:rsid w:val="256736AA"/>
    <w:rsid w:val="2610789E"/>
    <w:rsid w:val="26435EC5"/>
    <w:rsid w:val="26A742FB"/>
    <w:rsid w:val="26D33C77"/>
    <w:rsid w:val="271F5770"/>
    <w:rsid w:val="27D8088F"/>
    <w:rsid w:val="283E54BF"/>
    <w:rsid w:val="287252B6"/>
    <w:rsid w:val="28EE71AA"/>
    <w:rsid w:val="28FD3D8A"/>
    <w:rsid w:val="2A8C0BEE"/>
    <w:rsid w:val="2AEC657A"/>
    <w:rsid w:val="2B265ADC"/>
    <w:rsid w:val="2B6F4C50"/>
    <w:rsid w:val="2B9368FD"/>
    <w:rsid w:val="2BE958BD"/>
    <w:rsid w:val="2CAB3FB4"/>
    <w:rsid w:val="2CB17B5A"/>
    <w:rsid w:val="2CBF0FE1"/>
    <w:rsid w:val="2CE6411F"/>
    <w:rsid w:val="2CEF46B1"/>
    <w:rsid w:val="2D0819FB"/>
    <w:rsid w:val="2D0B203E"/>
    <w:rsid w:val="2DE163C7"/>
    <w:rsid w:val="2DF2421D"/>
    <w:rsid w:val="2E6B5FB9"/>
    <w:rsid w:val="2E9C2616"/>
    <w:rsid w:val="2EBB511A"/>
    <w:rsid w:val="2EBC0FFC"/>
    <w:rsid w:val="2EC5322D"/>
    <w:rsid w:val="2F1225A4"/>
    <w:rsid w:val="2FBB6151"/>
    <w:rsid w:val="31535609"/>
    <w:rsid w:val="32655415"/>
    <w:rsid w:val="32FF3174"/>
    <w:rsid w:val="331210F9"/>
    <w:rsid w:val="333170A5"/>
    <w:rsid w:val="33DF6B01"/>
    <w:rsid w:val="34806083"/>
    <w:rsid w:val="34D90058"/>
    <w:rsid w:val="368D6CE8"/>
    <w:rsid w:val="36F32FEF"/>
    <w:rsid w:val="36FD79CA"/>
    <w:rsid w:val="3828562A"/>
    <w:rsid w:val="38305B7D"/>
    <w:rsid w:val="383A69FC"/>
    <w:rsid w:val="38A6226A"/>
    <w:rsid w:val="38BD5663"/>
    <w:rsid w:val="38D66725"/>
    <w:rsid w:val="39291EA3"/>
    <w:rsid w:val="397F2E9A"/>
    <w:rsid w:val="39D869A0"/>
    <w:rsid w:val="39EE487A"/>
    <w:rsid w:val="3A4E6245"/>
    <w:rsid w:val="3A8E06BB"/>
    <w:rsid w:val="3AE26CD8"/>
    <w:rsid w:val="3BB645EB"/>
    <w:rsid w:val="3C4D6CFE"/>
    <w:rsid w:val="3C504A40"/>
    <w:rsid w:val="3C885F88"/>
    <w:rsid w:val="3CDC7C6A"/>
    <w:rsid w:val="3D712EC0"/>
    <w:rsid w:val="3DF31B27"/>
    <w:rsid w:val="3E210442"/>
    <w:rsid w:val="3EDB2CE7"/>
    <w:rsid w:val="3EEC155E"/>
    <w:rsid w:val="3F375A43"/>
    <w:rsid w:val="3F8F587F"/>
    <w:rsid w:val="405D597D"/>
    <w:rsid w:val="40DB5220"/>
    <w:rsid w:val="414A05DE"/>
    <w:rsid w:val="41B35408"/>
    <w:rsid w:val="42ED2FE9"/>
    <w:rsid w:val="431B769A"/>
    <w:rsid w:val="43364990"/>
    <w:rsid w:val="43A37B4B"/>
    <w:rsid w:val="44006401"/>
    <w:rsid w:val="440F1EBD"/>
    <w:rsid w:val="441D16AC"/>
    <w:rsid w:val="442A5B77"/>
    <w:rsid w:val="44586B88"/>
    <w:rsid w:val="44827761"/>
    <w:rsid w:val="45514753"/>
    <w:rsid w:val="457E43CC"/>
    <w:rsid w:val="45C15DFC"/>
    <w:rsid w:val="45C83899"/>
    <w:rsid w:val="461D3BE5"/>
    <w:rsid w:val="46E66601"/>
    <w:rsid w:val="46F012F9"/>
    <w:rsid w:val="485702AF"/>
    <w:rsid w:val="48931F3C"/>
    <w:rsid w:val="48A51C70"/>
    <w:rsid w:val="48F63EC0"/>
    <w:rsid w:val="49667651"/>
    <w:rsid w:val="49F15899"/>
    <w:rsid w:val="4AFE5866"/>
    <w:rsid w:val="4C9945EA"/>
    <w:rsid w:val="4D103D2D"/>
    <w:rsid w:val="4D371A30"/>
    <w:rsid w:val="4DAE7818"/>
    <w:rsid w:val="4F917B91"/>
    <w:rsid w:val="5047221A"/>
    <w:rsid w:val="508839C8"/>
    <w:rsid w:val="50CC19FF"/>
    <w:rsid w:val="51271DBC"/>
    <w:rsid w:val="515C4038"/>
    <w:rsid w:val="51856AE2"/>
    <w:rsid w:val="51E101BC"/>
    <w:rsid w:val="524558BD"/>
    <w:rsid w:val="52483D98"/>
    <w:rsid w:val="52EF4B5B"/>
    <w:rsid w:val="52F21F55"/>
    <w:rsid w:val="52F67C97"/>
    <w:rsid w:val="53220A8C"/>
    <w:rsid w:val="53C2187D"/>
    <w:rsid w:val="53C25DCC"/>
    <w:rsid w:val="53FD61C8"/>
    <w:rsid w:val="54BA73CC"/>
    <w:rsid w:val="55651104"/>
    <w:rsid w:val="55E259F7"/>
    <w:rsid w:val="56A96DCF"/>
    <w:rsid w:val="570B1838"/>
    <w:rsid w:val="57212E09"/>
    <w:rsid w:val="57D936E4"/>
    <w:rsid w:val="58226E39"/>
    <w:rsid w:val="58365C18"/>
    <w:rsid w:val="585039A6"/>
    <w:rsid w:val="594B3748"/>
    <w:rsid w:val="5A2908F2"/>
    <w:rsid w:val="5AE605F2"/>
    <w:rsid w:val="5AF240B2"/>
    <w:rsid w:val="5AFE3B8D"/>
    <w:rsid w:val="5AFFDEC6"/>
    <w:rsid w:val="5B5D7E1A"/>
    <w:rsid w:val="5B9E2C7A"/>
    <w:rsid w:val="5C032E91"/>
    <w:rsid w:val="5C8E0F41"/>
    <w:rsid w:val="5CA57841"/>
    <w:rsid w:val="5CAF2C65"/>
    <w:rsid w:val="5E525F9E"/>
    <w:rsid w:val="5EBD78BB"/>
    <w:rsid w:val="5F3A0F0C"/>
    <w:rsid w:val="5F5507E8"/>
    <w:rsid w:val="5F5D57A9"/>
    <w:rsid w:val="5F645F89"/>
    <w:rsid w:val="60186131"/>
    <w:rsid w:val="602A5424"/>
    <w:rsid w:val="60432042"/>
    <w:rsid w:val="60A1748F"/>
    <w:rsid w:val="60B409ED"/>
    <w:rsid w:val="60E05AE3"/>
    <w:rsid w:val="61194F52"/>
    <w:rsid w:val="61300818"/>
    <w:rsid w:val="61ED6709"/>
    <w:rsid w:val="620A030A"/>
    <w:rsid w:val="622E7C1C"/>
    <w:rsid w:val="627961EF"/>
    <w:rsid w:val="62D43425"/>
    <w:rsid w:val="634B6424"/>
    <w:rsid w:val="636B1FDC"/>
    <w:rsid w:val="638210D3"/>
    <w:rsid w:val="63A534A6"/>
    <w:rsid w:val="648F1CFA"/>
    <w:rsid w:val="64C319A4"/>
    <w:rsid w:val="656C203B"/>
    <w:rsid w:val="65705687"/>
    <w:rsid w:val="657202CE"/>
    <w:rsid w:val="657D5FF6"/>
    <w:rsid w:val="65A45331"/>
    <w:rsid w:val="65BA6903"/>
    <w:rsid w:val="66A43237"/>
    <w:rsid w:val="66F83B86"/>
    <w:rsid w:val="67562ECD"/>
    <w:rsid w:val="679C0638"/>
    <w:rsid w:val="67E96A2B"/>
    <w:rsid w:val="67EC1211"/>
    <w:rsid w:val="67FF34AA"/>
    <w:rsid w:val="6847120E"/>
    <w:rsid w:val="686231A1"/>
    <w:rsid w:val="68763E71"/>
    <w:rsid w:val="68A87665"/>
    <w:rsid w:val="693764BC"/>
    <w:rsid w:val="69B857BB"/>
    <w:rsid w:val="6A0E1913"/>
    <w:rsid w:val="6A6634FD"/>
    <w:rsid w:val="6AAE27AE"/>
    <w:rsid w:val="6AB029CA"/>
    <w:rsid w:val="6AB65793"/>
    <w:rsid w:val="6B00711D"/>
    <w:rsid w:val="6B013603"/>
    <w:rsid w:val="6B495B56"/>
    <w:rsid w:val="6B542573"/>
    <w:rsid w:val="6BE91CF0"/>
    <w:rsid w:val="6C9818B5"/>
    <w:rsid w:val="6CA1081C"/>
    <w:rsid w:val="6D756CCC"/>
    <w:rsid w:val="6D981C1F"/>
    <w:rsid w:val="6DEF0860"/>
    <w:rsid w:val="6E627916"/>
    <w:rsid w:val="6E777A87"/>
    <w:rsid w:val="6F2F79BF"/>
    <w:rsid w:val="6F372DB8"/>
    <w:rsid w:val="6FBF2ABA"/>
    <w:rsid w:val="706731CF"/>
    <w:rsid w:val="70F31397"/>
    <w:rsid w:val="71D14D55"/>
    <w:rsid w:val="721645D1"/>
    <w:rsid w:val="72275320"/>
    <w:rsid w:val="72E53F90"/>
    <w:rsid w:val="731F42C5"/>
    <w:rsid w:val="739FBB9E"/>
    <w:rsid w:val="73CDC981"/>
    <w:rsid w:val="73D143A6"/>
    <w:rsid w:val="743E30A2"/>
    <w:rsid w:val="74A7099A"/>
    <w:rsid w:val="754E52B9"/>
    <w:rsid w:val="767D5E56"/>
    <w:rsid w:val="76BD1339"/>
    <w:rsid w:val="77063EAF"/>
    <w:rsid w:val="773D2B41"/>
    <w:rsid w:val="774A385E"/>
    <w:rsid w:val="77B35B76"/>
    <w:rsid w:val="782E0265"/>
    <w:rsid w:val="78A05419"/>
    <w:rsid w:val="78CB6182"/>
    <w:rsid w:val="7948429A"/>
    <w:rsid w:val="795D3716"/>
    <w:rsid w:val="79764DDF"/>
    <w:rsid w:val="7A1545F8"/>
    <w:rsid w:val="7A320D06"/>
    <w:rsid w:val="7A56553E"/>
    <w:rsid w:val="7A644718"/>
    <w:rsid w:val="7A9A32A6"/>
    <w:rsid w:val="7AFB559C"/>
    <w:rsid w:val="7B4056A4"/>
    <w:rsid w:val="7C321C7A"/>
    <w:rsid w:val="7C7F6230"/>
    <w:rsid w:val="7D831878"/>
    <w:rsid w:val="7DA94B99"/>
    <w:rsid w:val="7E230A60"/>
    <w:rsid w:val="7E374B3D"/>
    <w:rsid w:val="7EAB21F9"/>
    <w:rsid w:val="7EC65EC0"/>
    <w:rsid w:val="7EF609EA"/>
    <w:rsid w:val="7F517E80"/>
    <w:rsid w:val="7F767868"/>
    <w:rsid w:val="7F7F2C3F"/>
    <w:rsid w:val="7FB65F35"/>
    <w:rsid w:val="7FF531DE"/>
    <w:rsid w:val="BF958A42"/>
    <w:rsid w:val="EFDF8177"/>
    <w:rsid w:val="F6EFB102"/>
    <w:rsid w:val="FF7D9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Body Text First Indent"/>
    <w:basedOn w:val="5"/>
    <w:next w:val="5"/>
    <w:qFormat/>
    <w:uiPriority w:val="0"/>
    <w:pPr>
      <w:ind w:firstLine="420" w:firstLineChars="100"/>
    </w:pPr>
  </w:style>
  <w:style w:type="paragraph" w:styleId="5">
    <w:name w:val="Body Text"/>
    <w:basedOn w:val="1"/>
    <w:next w:val="4"/>
    <w:qFormat/>
    <w:uiPriority w:val="0"/>
    <w:pPr>
      <w:suppressAutoHyphens/>
      <w:bidi w:val="0"/>
      <w:spacing w:before="0" w:after="140" w:line="276" w:lineRule="auto"/>
    </w:pPr>
    <w:rPr>
      <w:rFonts w:ascii="Calibri" w:hAnsi="Calibri" w:eastAsia="宋体"/>
      <w:color w:val="auto"/>
      <w:sz w:val="21"/>
    </w:rPr>
  </w:style>
  <w:style w:type="paragraph" w:styleId="7">
    <w:name w:val="Normal Indent"/>
    <w:basedOn w:val="1"/>
    <w:next w:val="1"/>
    <w:qFormat/>
    <w:uiPriority w:val="0"/>
    <w:pPr>
      <w:ind w:firstLine="200" w:firstLineChars="200"/>
    </w:pPr>
    <w:rPr>
      <w:rFonts w:ascii="Times New Roman" w:hAnsi="Times New Roman" w:eastAsia="宋体" w:cs="Times New Roman"/>
      <w:sz w:val="21"/>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15">
    <w:name w:val="Hyperlink"/>
    <w:basedOn w:val="14"/>
    <w:qFormat/>
    <w:uiPriority w:val="0"/>
    <w:rPr>
      <w:color w:val="0000FF"/>
      <w:u w:val="single"/>
    </w:rPr>
  </w:style>
  <w:style w:type="character" w:customStyle="1" w:styleId="16">
    <w:name w:val="sect2title"/>
    <w:basedOn w:val="14"/>
    <w:qFormat/>
    <w:uiPriority w:val="0"/>
    <w:rPr>
      <w:rFonts w:ascii="微软雅黑" w:hAnsi="微软雅黑" w:eastAsia="微软雅黑" w:cs="微软雅黑"/>
      <w:b/>
      <w:bCs/>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6776</Words>
  <Characters>6782</Characters>
  <Lines>0</Lines>
  <Paragraphs>0</Paragraphs>
  <TotalTime>19</TotalTime>
  <ScaleCrop>false</ScaleCrop>
  <LinksUpToDate>false</LinksUpToDate>
  <CharactersWithSpaces>6903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2023-02-08T16:40:00Z</dcterms:created>
  <dc:creator>法规与规划处</dc:creator>
  <cp:lastModifiedBy>user</cp:lastModifiedBy>
  <cp:lastPrinted>2024-07-12T01:32:00Z</cp:lastPrinted>
  <dcterms:modified xsi:type="dcterms:W3CDTF">2024-07-11T20:13:56Z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5A6CAF7E4BFD4909BBE6B437E45A4F77_13</vt:lpwstr>
  </property>
</Properties>
</file>