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lang w:val="en-US" w:eastAsia="zh-CN"/>
        </w:rPr>
        <w:t>自治区“八五”普法工作创新案例名单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1.自治区司法厅“法律明白人”分类分级精准培养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2.国家能源集团宁夏煤业公司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依法治企的实践和探索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3.自治区妇联“153”普法模式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推动妇女法治宣传教育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4.交通运输</w:t>
      </w:r>
      <w:r>
        <w:rPr>
          <w:rFonts w:hint="default" w:ascii="仿宋_GB2312" w:hAnsi="仿宋_GB2312" w:eastAsia="仿宋_GB2312" w:cs="仿宋_GB2312"/>
          <w:sz w:val="32"/>
          <w:szCs w:val="32"/>
        </w:rPr>
        <w:t>厅“12345”工作模式 加强交通运输领域法治宣传教育的实践与探索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.西夏区青少年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法治宣传教育的实践和探索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.贺兰县“1135+N”普法新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.吴忠市</w:t>
      </w:r>
      <w:r>
        <w:rPr>
          <w:rFonts w:hint="default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落实普法责任制的实践和探索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.利通区全面提升公民法治素养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.盐池县赓续红色法治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文化的实践和探索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.西吉县法治护航乡村振兴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和探索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49E2"/>
    <w:rsid w:val="332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2023-12-07T00:46:00Z</dcterms:created>
  <dc:creator>指挥中心</dc:creator>
  <cp:lastModifiedBy>指挥中心</cp:lastModifiedBy>
  <dcterms:modified xsi:type="dcterms:W3CDTF">2023-12-07T00:47:16Z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