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sz w:val="32"/>
          <w:szCs w:val="32"/>
        </w:rPr>
      </w:pPr>
    </w:p>
    <w:p>
      <w:pPr>
        <w:spacing w:line="600" w:lineRule="exact"/>
        <w:rPr>
          <w:rFonts w:hint="eastAsia" w:ascii="黑体" w:hAnsi="黑体" w:eastAsia="黑体" w:cs="黑体"/>
          <w:sz w:val="32"/>
          <w:szCs w:val="32"/>
        </w:rPr>
      </w:pPr>
      <w:r>
        <w:rPr>
          <w:rFonts w:hint="eastAsia" w:ascii="黑体" w:hAnsi="黑体" w:eastAsia="黑体" w:cs="黑体"/>
          <w:sz w:val="32"/>
          <w:szCs w:val="32"/>
        </w:rPr>
        <w:t>附件2</w:t>
      </w:r>
    </w:p>
    <w:p>
      <w:pPr>
        <w:spacing w:line="6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《自治区提升行政执法质量三年行动实施方案</w:t>
      </w:r>
    </w:p>
    <w:p>
      <w:pPr>
        <w:spacing w:line="6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（2023—2025年）》工作台账</w:t>
      </w:r>
    </w:p>
    <w:p>
      <w:pPr>
        <w:spacing w:line="600" w:lineRule="exact"/>
        <w:ind w:firstLine="640" w:firstLineChars="200"/>
        <w:rPr>
          <w:rFonts w:hint="eastAsia" w:ascii="仿宋_GB2312" w:hAnsi="仿宋_GB2312" w:eastAsia="仿宋_GB2312" w:cs="仿宋_GB2312"/>
          <w:sz w:val="32"/>
          <w:szCs w:val="32"/>
        </w:rPr>
      </w:pPr>
    </w:p>
    <w:tbl>
      <w:tblPr>
        <w:tblStyle w:val="4"/>
        <w:tblW w:w="143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
        <w:gridCol w:w="4448"/>
        <w:gridCol w:w="1212"/>
        <w:gridCol w:w="1546"/>
        <w:gridCol w:w="2556"/>
        <w:gridCol w:w="1842"/>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924" w:type="dxa"/>
            <w:noWrap w:val="0"/>
            <w:vAlign w:val="top"/>
          </w:tcPr>
          <w:p>
            <w:pPr>
              <w:spacing w:line="360" w:lineRule="exact"/>
              <w:rPr>
                <w:rFonts w:hint="eastAsia" w:ascii="黑体" w:hAnsi="黑体" w:eastAsia="黑体" w:cs="黑体"/>
                <w:sz w:val="24"/>
              </w:rPr>
            </w:pPr>
          </w:p>
        </w:tc>
        <w:tc>
          <w:tcPr>
            <w:tcW w:w="4448" w:type="dxa"/>
            <w:noWrap w:val="0"/>
            <w:vAlign w:val="center"/>
          </w:tcPr>
          <w:p>
            <w:pPr>
              <w:spacing w:line="360" w:lineRule="exact"/>
              <w:jc w:val="center"/>
              <w:rPr>
                <w:rFonts w:hint="eastAsia" w:ascii="黑体" w:hAnsi="黑体" w:eastAsia="黑体" w:cs="黑体"/>
                <w:sz w:val="24"/>
              </w:rPr>
            </w:pPr>
            <w:r>
              <w:rPr>
                <w:rFonts w:hint="eastAsia" w:ascii="黑体" w:hAnsi="黑体" w:eastAsia="黑体" w:cs="黑体"/>
                <w:sz w:val="24"/>
              </w:rPr>
              <w:t>任务举措</w:t>
            </w:r>
          </w:p>
        </w:tc>
        <w:tc>
          <w:tcPr>
            <w:tcW w:w="1212" w:type="dxa"/>
            <w:noWrap w:val="0"/>
            <w:vAlign w:val="center"/>
          </w:tcPr>
          <w:p>
            <w:pPr>
              <w:spacing w:line="360" w:lineRule="exact"/>
              <w:jc w:val="center"/>
              <w:rPr>
                <w:rFonts w:hint="eastAsia" w:ascii="黑体" w:hAnsi="黑体" w:eastAsia="黑体" w:cs="黑体"/>
                <w:sz w:val="24"/>
              </w:rPr>
            </w:pPr>
            <w:r>
              <w:rPr>
                <w:rFonts w:hint="eastAsia" w:ascii="黑体" w:hAnsi="黑体" w:eastAsia="黑体" w:cs="黑体"/>
                <w:sz w:val="24"/>
              </w:rPr>
              <w:t>责任单位</w:t>
            </w:r>
          </w:p>
        </w:tc>
        <w:tc>
          <w:tcPr>
            <w:tcW w:w="1546" w:type="dxa"/>
            <w:noWrap w:val="0"/>
            <w:vAlign w:val="center"/>
          </w:tcPr>
          <w:p>
            <w:pPr>
              <w:spacing w:line="360" w:lineRule="exact"/>
              <w:jc w:val="center"/>
              <w:rPr>
                <w:rFonts w:hint="eastAsia" w:ascii="黑体" w:hAnsi="黑体" w:eastAsia="黑体" w:cs="黑体"/>
                <w:sz w:val="24"/>
              </w:rPr>
            </w:pPr>
            <w:r>
              <w:rPr>
                <w:rFonts w:hint="eastAsia" w:ascii="黑体" w:hAnsi="黑体" w:eastAsia="黑体" w:cs="黑体"/>
                <w:sz w:val="24"/>
              </w:rPr>
              <w:t>完成时限</w:t>
            </w:r>
          </w:p>
        </w:tc>
        <w:tc>
          <w:tcPr>
            <w:tcW w:w="2556" w:type="dxa"/>
            <w:noWrap w:val="0"/>
            <w:vAlign w:val="center"/>
          </w:tcPr>
          <w:p>
            <w:pPr>
              <w:spacing w:line="360" w:lineRule="exact"/>
              <w:jc w:val="center"/>
              <w:rPr>
                <w:rFonts w:hint="eastAsia" w:ascii="黑体" w:hAnsi="黑体" w:eastAsia="黑体" w:cs="黑体"/>
                <w:sz w:val="24"/>
              </w:rPr>
            </w:pPr>
            <w:r>
              <w:rPr>
                <w:rFonts w:hint="eastAsia" w:ascii="黑体" w:hAnsi="黑体" w:eastAsia="黑体" w:cs="黑体"/>
                <w:sz w:val="24"/>
              </w:rPr>
              <w:t>具体落实情况</w:t>
            </w:r>
          </w:p>
        </w:tc>
        <w:tc>
          <w:tcPr>
            <w:tcW w:w="1842" w:type="dxa"/>
            <w:noWrap w:val="0"/>
            <w:vAlign w:val="center"/>
          </w:tcPr>
          <w:p>
            <w:pPr>
              <w:spacing w:line="360" w:lineRule="exact"/>
              <w:jc w:val="center"/>
              <w:rPr>
                <w:rFonts w:hint="eastAsia" w:ascii="黑体" w:hAnsi="黑体" w:eastAsia="黑体" w:cs="黑体"/>
                <w:sz w:val="24"/>
              </w:rPr>
            </w:pPr>
            <w:r>
              <w:rPr>
                <w:rFonts w:hint="eastAsia" w:ascii="黑体" w:hAnsi="黑体" w:eastAsia="黑体" w:cs="黑体"/>
                <w:sz w:val="24"/>
              </w:rPr>
              <w:t>存在问题</w:t>
            </w:r>
          </w:p>
        </w:tc>
        <w:tc>
          <w:tcPr>
            <w:tcW w:w="1810" w:type="dxa"/>
            <w:noWrap w:val="0"/>
            <w:vAlign w:val="center"/>
          </w:tcPr>
          <w:p>
            <w:pPr>
              <w:spacing w:line="360" w:lineRule="exact"/>
              <w:jc w:val="center"/>
              <w:rPr>
                <w:rFonts w:hint="eastAsia" w:ascii="黑体" w:hAnsi="黑体" w:eastAsia="黑体" w:cs="黑体"/>
                <w:sz w:val="24"/>
              </w:rPr>
            </w:pPr>
            <w:r>
              <w:rPr>
                <w:rFonts w:hint="eastAsia" w:ascii="黑体" w:hAnsi="黑体" w:eastAsia="黑体" w:cs="黑体"/>
                <w:sz w:val="24"/>
              </w:rPr>
              <w:t>工作打算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5" w:hRule="atLeast"/>
          <w:jc w:val="center"/>
        </w:trPr>
        <w:tc>
          <w:tcPr>
            <w:tcW w:w="924" w:type="dxa"/>
            <w:vMerge w:val="restart"/>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一、全面提升行政执法人员能力素质</w:t>
            </w:r>
          </w:p>
        </w:tc>
        <w:tc>
          <w:tcPr>
            <w:tcW w:w="4448" w:type="dxa"/>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始终把加强党的政治建设放在首位，认真学习贯彻习近平新时代中国特色社会主义思想，切实践行习近平法治思想，教育引导行政执法人员不断提高政治判断力、政治领悟力、政治执行力，坚定拥护“两个确立”、坚决做到“两个维护”，正确把握政治方向，严格遵守政治纪律，加强政治历练，积累政治经验，提升行政执法人员政治素养，确保执法队伍忠诚干净担当。</w:t>
            </w:r>
          </w:p>
        </w:tc>
        <w:tc>
          <w:tcPr>
            <w:tcW w:w="1212" w:type="dxa"/>
            <w:noWrap w:val="0"/>
            <w:vAlign w:val="center"/>
          </w:tcPr>
          <w:p>
            <w:pPr>
              <w:spacing w:line="320" w:lineRule="exact"/>
              <w:rPr>
                <w:rFonts w:ascii="仿宋_GB2312" w:hAnsi="仿宋_GB2312" w:eastAsia="仿宋_GB2312" w:cs="仿宋_GB2312"/>
                <w:sz w:val="24"/>
              </w:rPr>
            </w:pPr>
            <w:r>
              <w:rPr>
                <w:rFonts w:ascii="仿宋_GB2312" w:hAnsi="仿宋_GB2312" w:eastAsia="仿宋_GB2312" w:cs="仿宋_GB2312"/>
                <w:sz w:val="24"/>
              </w:rPr>
              <w:t>自治区各行政执法机关，各市、</w:t>
            </w:r>
            <w:r>
              <w:rPr>
                <w:rFonts w:hint="eastAsia" w:ascii="仿宋_GB2312" w:hAnsi="仿宋_GB2312" w:eastAsia="仿宋_GB2312" w:cs="仿宋_GB2312"/>
                <w:sz w:val="24"/>
              </w:rPr>
              <w:t>县（区）</w:t>
            </w:r>
            <w:r>
              <w:rPr>
                <w:rFonts w:ascii="仿宋_GB2312" w:hAnsi="仿宋_GB2312" w:eastAsia="仿宋_GB2312" w:cs="仿宋_GB2312"/>
                <w:sz w:val="24"/>
              </w:rPr>
              <w:t>人民政府</w:t>
            </w:r>
          </w:p>
        </w:tc>
        <w:tc>
          <w:tcPr>
            <w:tcW w:w="1546" w:type="dxa"/>
            <w:noWrap w:val="0"/>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长期坚持</w:t>
            </w:r>
          </w:p>
        </w:tc>
        <w:tc>
          <w:tcPr>
            <w:tcW w:w="2556" w:type="dxa"/>
            <w:noWrap w:val="0"/>
            <w:vAlign w:val="center"/>
          </w:tcPr>
          <w:p>
            <w:pPr>
              <w:spacing w:line="320" w:lineRule="exact"/>
              <w:rPr>
                <w:rFonts w:ascii="仿宋_GB2312" w:hAnsi="仿宋_GB2312" w:eastAsia="仿宋_GB2312" w:cs="仿宋_GB2312"/>
                <w:sz w:val="24"/>
              </w:rPr>
            </w:pPr>
          </w:p>
        </w:tc>
        <w:tc>
          <w:tcPr>
            <w:tcW w:w="1842" w:type="dxa"/>
            <w:noWrap w:val="0"/>
            <w:vAlign w:val="center"/>
          </w:tcPr>
          <w:p>
            <w:pPr>
              <w:spacing w:line="320" w:lineRule="exact"/>
              <w:jc w:val="center"/>
              <w:rPr>
                <w:rFonts w:hint="eastAsia" w:ascii="仿宋_GB2312" w:hAnsi="仿宋_GB2312" w:eastAsia="仿宋_GB2312" w:cs="仿宋_GB2312"/>
                <w:sz w:val="24"/>
              </w:rPr>
            </w:pPr>
          </w:p>
        </w:tc>
        <w:tc>
          <w:tcPr>
            <w:tcW w:w="1810" w:type="dxa"/>
            <w:noWrap w:val="0"/>
            <w:vAlign w:val="top"/>
          </w:tcPr>
          <w:p>
            <w:pPr>
              <w:spacing w:line="32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7" w:hRule="atLeast"/>
          <w:jc w:val="center"/>
        </w:trPr>
        <w:tc>
          <w:tcPr>
            <w:tcW w:w="924" w:type="dxa"/>
            <w:vMerge w:val="continue"/>
            <w:noWrap w:val="0"/>
            <w:vAlign w:val="center"/>
          </w:tcPr>
          <w:p>
            <w:pPr>
              <w:spacing w:line="320" w:lineRule="exact"/>
              <w:rPr>
                <w:rFonts w:hint="eastAsia" w:ascii="仿宋_GB2312" w:hAnsi="仿宋_GB2312" w:eastAsia="仿宋_GB2312" w:cs="仿宋_GB2312"/>
                <w:sz w:val="24"/>
              </w:rPr>
            </w:pPr>
          </w:p>
        </w:tc>
        <w:tc>
          <w:tcPr>
            <w:tcW w:w="4448" w:type="dxa"/>
            <w:noWrap w:val="0"/>
            <w:vAlign w:val="center"/>
          </w:tcPr>
          <w:p>
            <w:pPr>
              <w:spacing w:line="320" w:lineRule="exact"/>
              <w:rPr>
                <w:rFonts w:ascii="仿宋_GB2312" w:hAnsi="仿宋_GB2312" w:eastAsia="仿宋_GB2312" w:cs="仿宋_GB2312"/>
                <w:sz w:val="24"/>
              </w:rPr>
            </w:pPr>
            <w:r>
              <w:rPr>
                <w:rFonts w:ascii="仿宋_GB2312" w:hAnsi="仿宋_GB2312" w:eastAsia="仿宋_GB2312" w:cs="仿宋_GB2312"/>
                <w:sz w:val="24"/>
              </w:rPr>
              <w:t>2.充分发挥基层党组织战斗堡垒作用和党员先锋模范作用，坚持党建工作与执法工作深度融合，不断强化执法队伍建设、促进执法业务提升，推进行政执法队伍的革命化、正规化、专业化、职业化建设，筑牢执法为民理念、增强执法为民意识，持续提升做好行政执法工作的能力和本领，实现行政执法工作政治效果、法律效果和社会效果的有机统一。</w:t>
            </w:r>
          </w:p>
        </w:tc>
        <w:tc>
          <w:tcPr>
            <w:tcW w:w="1212" w:type="dxa"/>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自治区各行政执法机关，各市、县（区）人民政府</w:t>
            </w:r>
          </w:p>
        </w:tc>
        <w:tc>
          <w:tcPr>
            <w:tcW w:w="1546" w:type="dxa"/>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长期坚持</w:t>
            </w:r>
          </w:p>
        </w:tc>
        <w:tc>
          <w:tcPr>
            <w:tcW w:w="2556" w:type="dxa"/>
            <w:noWrap w:val="0"/>
            <w:vAlign w:val="center"/>
          </w:tcPr>
          <w:p>
            <w:pPr>
              <w:spacing w:line="320" w:lineRule="exact"/>
              <w:rPr>
                <w:rFonts w:hint="eastAsia" w:ascii="仿宋_GB2312" w:hAnsi="仿宋_GB2312" w:eastAsia="仿宋_GB2312" w:cs="仿宋_GB2312"/>
                <w:sz w:val="24"/>
              </w:rPr>
            </w:pPr>
          </w:p>
        </w:tc>
        <w:tc>
          <w:tcPr>
            <w:tcW w:w="1842" w:type="dxa"/>
            <w:noWrap w:val="0"/>
            <w:vAlign w:val="center"/>
          </w:tcPr>
          <w:p>
            <w:pPr>
              <w:spacing w:line="320" w:lineRule="exact"/>
              <w:jc w:val="center"/>
              <w:rPr>
                <w:rFonts w:hint="eastAsia" w:ascii="仿宋_GB2312" w:hAnsi="仿宋_GB2312" w:eastAsia="仿宋_GB2312" w:cs="仿宋_GB2312"/>
                <w:sz w:val="24"/>
              </w:rPr>
            </w:pPr>
          </w:p>
        </w:tc>
        <w:tc>
          <w:tcPr>
            <w:tcW w:w="1810" w:type="dxa"/>
            <w:noWrap w:val="0"/>
            <w:vAlign w:val="top"/>
          </w:tcPr>
          <w:p>
            <w:pPr>
              <w:spacing w:line="32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8" w:hRule="atLeast"/>
          <w:jc w:val="center"/>
        </w:trPr>
        <w:tc>
          <w:tcPr>
            <w:tcW w:w="924" w:type="dxa"/>
            <w:vMerge w:val="continue"/>
            <w:noWrap w:val="0"/>
            <w:vAlign w:val="center"/>
          </w:tcPr>
          <w:p>
            <w:pPr>
              <w:spacing w:line="320" w:lineRule="exact"/>
              <w:rPr>
                <w:rFonts w:hint="eastAsia" w:ascii="仿宋_GB2312" w:hAnsi="仿宋_GB2312" w:eastAsia="仿宋_GB2312" w:cs="仿宋_GB2312"/>
                <w:sz w:val="24"/>
              </w:rPr>
            </w:pPr>
          </w:p>
        </w:tc>
        <w:tc>
          <w:tcPr>
            <w:tcW w:w="4448" w:type="dxa"/>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按照全国行政执法人员培训标准化体系建设要求，坚持条块结合、以块为主的原则，采用政治教育与法律教育相结合、理论与实践相结合的方式，开展分类分级分层培训，在完成政治理论教育和党性教育学时的基础上，确保本行政机关行政执法人员每人每年接受不少于60学时的公共法律知识、业务知识和行政执法技能培训，并注重加强执法行为规范和职业道德教育。2024年6月底前，各级行政执法机关要完成对本部门行政执法队伍的全员轮训，将轮训情况报本级司法行政部门。</w:t>
            </w:r>
          </w:p>
        </w:tc>
        <w:tc>
          <w:tcPr>
            <w:tcW w:w="1212" w:type="dxa"/>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自治区各行政执法机关，自治区司法厅，各市、县（区）人民政府</w:t>
            </w:r>
          </w:p>
        </w:tc>
        <w:tc>
          <w:tcPr>
            <w:tcW w:w="1546" w:type="dxa"/>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长期坚持</w:t>
            </w:r>
          </w:p>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（2024年6月底前完成全员轮训）</w:t>
            </w:r>
          </w:p>
          <w:p>
            <w:pPr>
              <w:spacing w:line="320" w:lineRule="exact"/>
              <w:jc w:val="center"/>
              <w:rPr>
                <w:rFonts w:ascii="仿宋_GB2312" w:hAnsi="仿宋_GB2312" w:eastAsia="仿宋_GB2312" w:cs="仿宋_GB2312"/>
                <w:sz w:val="24"/>
              </w:rPr>
            </w:pPr>
          </w:p>
        </w:tc>
        <w:tc>
          <w:tcPr>
            <w:tcW w:w="2556" w:type="dxa"/>
            <w:noWrap w:val="0"/>
            <w:vAlign w:val="center"/>
          </w:tcPr>
          <w:p>
            <w:pPr>
              <w:spacing w:line="320" w:lineRule="exact"/>
              <w:rPr>
                <w:rFonts w:hint="eastAsia" w:ascii="仿宋_GB2312" w:hAnsi="仿宋_GB2312" w:eastAsia="仿宋_GB2312" w:cs="仿宋_GB2312"/>
                <w:sz w:val="24"/>
              </w:rPr>
            </w:pPr>
          </w:p>
        </w:tc>
        <w:tc>
          <w:tcPr>
            <w:tcW w:w="1842" w:type="dxa"/>
            <w:noWrap w:val="0"/>
            <w:vAlign w:val="center"/>
          </w:tcPr>
          <w:p>
            <w:pPr>
              <w:spacing w:line="320" w:lineRule="exact"/>
              <w:jc w:val="center"/>
              <w:rPr>
                <w:rFonts w:hint="eastAsia" w:ascii="仿宋_GB2312" w:hAnsi="仿宋_GB2312" w:eastAsia="仿宋_GB2312" w:cs="仿宋_GB2312"/>
                <w:sz w:val="24"/>
              </w:rPr>
            </w:pPr>
          </w:p>
        </w:tc>
        <w:tc>
          <w:tcPr>
            <w:tcW w:w="1810" w:type="dxa"/>
            <w:noWrap w:val="0"/>
            <w:vAlign w:val="top"/>
          </w:tcPr>
          <w:p>
            <w:pPr>
              <w:spacing w:line="32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5" w:hRule="atLeast"/>
          <w:jc w:val="center"/>
        </w:trPr>
        <w:tc>
          <w:tcPr>
            <w:tcW w:w="924" w:type="dxa"/>
            <w:vMerge w:val="continue"/>
            <w:noWrap w:val="0"/>
            <w:vAlign w:val="center"/>
          </w:tcPr>
          <w:p>
            <w:pPr>
              <w:spacing w:line="320" w:lineRule="exact"/>
              <w:rPr>
                <w:rFonts w:hint="eastAsia" w:ascii="仿宋_GB2312" w:hAnsi="仿宋_GB2312" w:eastAsia="仿宋_GB2312" w:cs="仿宋_GB2312"/>
                <w:sz w:val="24"/>
              </w:rPr>
            </w:pPr>
          </w:p>
        </w:tc>
        <w:tc>
          <w:tcPr>
            <w:tcW w:w="4448" w:type="dxa"/>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4.上级业务部门要加强对下级业务部门培训工作的指导，切实增强行政执法培训工作实效，坚决避免各种形式主义，提升一线执法人员运用法治思维和法治方式开展执法、维护稳定、化解矛盾的能力。</w:t>
            </w:r>
          </w:p>
        </w:tc>
        <w:tc>
          <w:tcPr>
            <w:tcW w:w="1212" w:type="dxa"/>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自治区各行政执法机关，各市、县（区）人民政府</w:t>
            </w:r>
          </w:p>
        </w:tc>
        <w:tc>
          <w:tcPr>
            <w:tcW w:w="1546" w:type="dxa"/>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长期坚持</w:t>
            </w:r>
          </w:p>
        </w:tc>
        <w:tc>
          <w:tcPr>
            <w:tcW w:w="2556" w:type="dxa"/>
            <w:noWrap w:val="0"/>
            <w:vAlign w:val="center"/>
          </w:tcPr>
          <w:p>
            <w:pPr>
              <w:spacing w:line="320" w:lineRule="exact"/>
              <w:rPr>
                <w:rFonts w:hint="eastAsia" w:ascii="仿宋_GB2312" w:hAnsi="仿宋_GB2312" w:eastAsia="仿宋_GB2312" w:cs="仿宋_GB2312"/>
                <w:sz w:val="24"/>
              </w:rPr>
            </w:pPr>
          </w:p>
        </w:tc>
        <w:tc>
          <w:tcPr>
            <w:tcW w:w="1842" w:type="dxa"/>
            <w:noWrap w:val="0"/>
            <w:vAlign w:val="center"/>
          </w:tcPr>
          <w:p>
            <w:pPr>
              <w:spacing w:line="320" w:lineRule="exact"/>
              <w:jc w:val="center"/>
              <w:rPr>
                <w:rFonts w:hint="eastAsia" w:ascii="仿宋_GB2312" w:hAnsi="仿宋_GB2312" w:eastAsia="仿宋_GB2312" w:cs="仿宋_GB2312"/>
                <w:sz w:val="24"/>
              </w:rPr>
            </w:pPr>
          </w:p>
        </w:tc>
        <w:tc>
          <w:tcPr>
            <w:tcW w:w="1810" w:type="dxa"/>
            <w:noWrap w:val="0"/>
            <w:vAlign w:val="top"/>
          </w:tcPr>
          <w:p>
            <w:pPr>
              <w:spacing w:line="32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8" w:hRule="atLeast"/>
          <w:jc w:val="center"/>
        </w:trPr>
        <w:tc>
          <w:tcPr>
            <w:tcW w:w="924" w:type="dxa"/>
            <w:vMerge w:val="restart"/>
            <w:noWrap w:val="0"/>
            <w:vAlign w:val="center"/>
          </w:tcPr>
          <w:p>
            <w:pPr>
              <w:spacing w:line="320" w:lineRule="exact"/>
              <w:rPr>
                <w:rFonts w:hint="eastAsia" w:ascii="仿宋_GB2312" w:hAnsi="仿宋_GB2312" w:eastAsia="仿宋_GB2312" w:cs="仿宋_GB2312"/>
                <w:sz w:val="24"/>
              </w:rPr>
            </w:pPr>
          </w:p>
        </w:tc>
        <w:tc>
          <w:tcPr>
            <w:tcW w:w="4448" w:type="dxa"/>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5.各级行政执法机关负责对承担本部门行政执法事项的综合行政执法队伍进行业务知识和行政执法技能培训，加强对乡镇、街道综合行政执法人员的培训，鼓励跨部门联合对承担多个部门行政执法事项的人员开展培训，乡镇、街道综合执法人员要积极参加上级有关业务部门组织的培训，不断提升基层综合执法能力和水平。</w:t>
            </w:r>
          </w:p>
        </w:tc>
        <w:tc>
          <w:tcPr>
            <w:tcW w:w="1212" w:type="dxa"/>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自治区各行政执法机关，各市、县（区）人民政府</w:t>
            </w:r>
          </w:p>
        </w:tc>
        <w:tc>
          <w:tcPr>
            <w:tcW w:w="1546" w:type="dxa"/>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长期坚持</w:t>
            </w:r>
          </w:p>
        </w:tc>
        <w:tc>
          <w:tcPr>
            <w:tcW w:w="2556" w:type="dxa"/>
            <w:noWrap w:val="0"/>
            <w:vAlign w:val="center"/>
          </w:tcPr>
          <w:p>
            <w:pPr>
              <w:spacing w:line="320" w:lineRule="exact"/>
              <w:rPr>
                <w:rFonts w:hint="eastAsia" w:ascii="仿宋_GB2312" w:hAnsi="仿宋_GB2312" w:eastAsia="仿宋_GB2312" w:cs="仿宋_GB2312"/>
                <w:sz w:val="24"/>
              </w:rPr>
            </w:pPr>
          </w:p>
        </w:tc>
        <w:tc>
          <w:tcPr>
            <w:tcW w:w="1842" w:type="dxa"/>
            <w:noWrap w:val="0"/>
            <w:vAlign w:val="center"/>
          </w:tcPr>
          <w:p>
            <w:pPr>
              <w:spacing w:line="320" w:lineRule="exact"/>
              <w:jc w:val="center"/>
              <w:rPr>
                <w:rFonts w:hint="eastAsia" w:ascii="仿宋_GB2312" w:hAnsi="仿宋_GB2312" w:eastAsia="仿宋_GB2312" w:cs="仿宋_GB2312"/>
                <w:sz w:val="24"/>
              </w:rPr>
            </w:pPr>
          </w:p>
        </w:tc>
        <w:tc>
          <w:tcPr>
            <w:tcW w:w="1810" w:type="dxa"/>
            <w:noWrap w:val="0"/>
            <w:vAlign w:val="top"/>
          </w:tcPr>
          <w:p>
            <w:pPr>
              <w:spacing w:line="32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0" w:hRule="atLeast"/>
          <w:jc w:val="center"/>
        </w:trPr>
        <w:tc>
          <w:tcPr>
            <w:tcW w:w="924" w:type="dxa"/>
            <w:vMerge w:val="continue"/>
            <w:noWrap w:val="0"/>
            <w:vAlign w:val="center"/>
          </w:tcPr>
          <w:p>
            <w:pPr>
              <w:spacing w:line="320" w:lineRule="exact"/>
              <w:rPr>
                <w:rFonts w:hint="eastAsia" w:ascii="仿宋_GB2312" w:hAnsi="仿宋_GB2312" w:eastAsia="仿宋_GB2312" w:cs="仿宋_GB2312"/>
                <w:sz w:val="24"/>
              </w:rPr>
            </w:pPr>
          </w:p>
        </w:tc>
        <w:tc>
          <w:tcPr>
            <w:tcW w:w="4448" w:type="dxa"/>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6.严格落实行政执法人员资格管理和持证上岗制度，加大对新申领行政执法证件人员审核力度，未取得行政执法证件的人员不得独立从事行政执法工作。严格落实行政执法人员退出制度，认真组织开展行政执法证件年审工作，对不符合执法要求的行政执法人员要依法暂扣、收回或者注销其行政执法证件。人民警察证件的管理使用按照人民警察法的规定执行。</w:t>
            </w:r>
          </w:p>
        </w:tc>
        <w:tc>
          <w:tcPr>
            <w:tcW w:w="1212" w:type="dxa"/>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自治区司法厅，各行政执法机关，各市、县（区）人民政府</w:t>
            </w:r>
          </w:p>
        </w:tc>
        <w:tc>
          <w:tcPr>
            <w:tcW w:w="1546" w:type="dxa"/>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长期坚持</w:t>
            </w:r>
          </w:p>
        </w:tc>
        <w:tc>
          <w:tcPr>
            <w:tcW w:w="2556" w:type="dxa"/>
            <w:noWrap w:val="0"/>
            <w:vAlign w:val="center"/>
          </w:tcPr>
          <w:p>
            <w:pPr>
              <w:spacing w:line="320" w:lineRule="exact"/>
              <w:rPr>
                <w:rFonts w:hint="eastAsia" w:ascii="仿宋_GB2312" w:hAnsi="仿宋_GB2312" w:eastAsia="仿宋_GB2312" w:cs="仿宋_GB2312"/>
                <w:sz w:val="24"/>
              </w:rPr>
            </w:pPr>
          </w:p>
        </w:tc>
        <w:tc>
          <w:tcPr>
            <w:tcW w:w="1842" w:type="dxa"/>
            <w:noWrap w:val="0"/>
            <w:vAlign w:val="center"/>
          </w:tcPr>
          <w:p>
            <w:pPr>
              <w:spacing w:line="320" w:lineRule="exact"/>
              <w:jc w:val="center"/>
              <w:rPr>
                <w:rFonts w:hint="eastAsia" w:ascii="仿宋_GB2312" w:hAnsi="仿宋_GB2312" w:eastAsia="仿宋_GB2312" w:cs="仿宋_GB2312"/>
                <w:sz w:val="24"/>
              </w:rPr>
            </w:pPr>
          </w:p>
        </w:tc>
        <w:tc>
          <w:tcPr>
            <w:tcW w:w="1810" w:type="dxa"/>
            <w:noWrap w:val="0"/>
            <w:vAlign w:val="top"/>
          </w:tcPr>
          <w:p>
            <w:pPr>
              <w:spacing w:line="32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3" w:hRule="atLeast"/>
          <w:jc w:val="center"/>
        </w:trPr>
        <w:tc>
          <w:tcPr>
            <w:tcW w:w="924" w:type="dxa"/>
            <w:vMerge w:val="continue"/>
            <w:noWrap w:val="0"/>
            <w:vAlign w:val="center"/>
          </w:tcPr>
          <w:p>
            <w:pPr>
              <w:spacing w:line="320" w:lineRule="exact"/>
              <w:rPr>
                <w:rFonts w:hint="eastAsia" w:ascii="仿宋_GB2312" w:hAnsi="仿宋_GB2312" w:eastAsia="仿宋_GB2312" w:cs="仿宋_GB2312"/>
                <w:sz w:val="24"/>
              </w:rPr>
            </w:pPr>
          </w:p>
        </w:tc>
        <w:tc>
          <w:tcPr>
            <w:tcW w:w="4448" w:type="dxa"/>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7.全面落实行政执法责任制，细化执法流程，明确执法责任，公开执法职权，切实解决职权不清、责任不明、出现过错难以追究等问题。健全完善行政执法人员年度考核制度，合理设置考核指标、内容，强化考核结果应用，将日常管理和年度考核结果作为行政执法人员培养、提拔、奖惩等重要依据。</w:t>
            </w:r>
          </w:p>
        </w:tc>
        <w:tc>
          <w:tcPr>
            <w:tcW w:w="1212" w:type="dxa"/>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自治区各行政执法机关，各市、县（区）人民政府</w:t>
            </w:r>
          </w:p>
        </w:tc>
        <w:tc>
          <w:tcPr>
            <w:tcW w:w="1546" w:type="dxa"/>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长期坚持</w:t>
            </w:r>
          </w:p>
        </w:tc>
        <w:tc>
          <w:tcPr>
            <w:tcW w:w="2556" w:type="dxa"/>
            <w:noWrap w:val="0"/>
            <w:vAlign w:val="center"/>
          </w:tcPr>
          <w:p>
            <w:pPr>
              <w:spacing w:line="320" w:lineRule="exact"/>
              <w:rPr>
                <w:rFonts w:hint="eastAsia" w:ascii="仿宋_GB2312" w:hAnsi="仿宋_GB2312" w:eastAsia="仿宋_GB2312" w:cs="仿宋_GB2312"/>
                <w:sz w:val="24"/>
              </w:rPr>
            </w:pPr>
          </w:p>
        </w:tc>
        <w:tc>
          <w:tcPr>
            <w:tcW w:w="1842" w:type="dxa"/>
            <w:noWrap w:val="0"/>
            <w:vAlign w:val="center"/>
          </w:tcPr>
          <w:p>
            <w:pPr>
              <w:spacing w:line="320" w:lineRule="exact"/>
              <w:jc w:val="center"/>
              <w:rPr>
                <w:rFonts w:hint="eastAsia" w:ascii="仿宋_GB2312" w:hAnsi="仿宋_GB2312" w:eastAsia="仿宋_GB2312" w:cs="仿宋_GB2312"/>
                <w:sz w:val="24"/>
              </w:rPr>
            </w:pPr>
          </w:p>
        </w:tc>
        <w:tc>
          <w:tcPr>
            <w:tcW w:w="1810" w:type="dxa"/>
            <w:noWrap w:val="0"/>
            <w:vAlign w:val="top"/>
          </w:tcPr>
          <w:p>
            <w:pPr>
              <w:spacing w:line="32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3" w:hRule="atLeast"/>
          <w:jc w:val="center"/>
        </w:trPr>
        <w:tc>
          <w:tcPr>
            <w:tcW w:w="924" w:type="dxa"/>
            <w:vMerge w:val="restart"/>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二、全面推进严格规范公正文明执法</w:t>
            </w:r>
          </w:p>
        </w:tc>
        <w:tc>
          <w:tcPr>
            <w:tcW w:w="4448" w:type="dxa"/>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8.聚焦人民群众反映强烈的运动式执法、“一刀切”执法、简单粗暴执法、野蛮执法、过度执法、机械执法、逐利执法等执法不作为、乱作为和执法不规范、不文明等突出问题，通过综合问卷调查、随机抽查、实地走访等方式，充分利用微信公众号、门户网站等开设问题收集专栏，广泛听取收集意见。各级行政执法机关于2023年12月底前组织梳理形成本地区各行政执法领域的突出问题清单，并按照“一部门一清单”方式适时组织开展专项整治行动，问题清单和专项整治情况要及时报送本级司法行政部门汇总。</w:t>
            </w:r>
          </w:p>
        </w:tc>
        <w:tc>
          <w:tcPr>
            <w:tcW w:w="1212" w:type="dxa"/>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自治区各行政执法机关，自治区司法厅，各市、县（区）人民政府</w:t>
            </w:r>
          </w:p>
        </w:tc>
        <w:tc>
          <w:tcPr>
            <w:tcW w:w="1546" w:type="dxa"/>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2023年12月底前形成问题清单，适时组织开展专项整治</w:t>
            </w:r>
          </w:p>
        </w:tc>
        <w:tc>
          <w:tcPr>
            <w:tcW w:w="2556" w:type="dxa"/>
            <w:noWrap w:val="0"/>
            <w:vAlign w:val="center"/>
          </w:tcPr>
          <w:p>
            <w:pPr>
              <w:spacing w:line="320" w:lineRule="exact"/>
              <w:rPr>
                <w:rFonts w:hint="eastAsia" w:ascii="仿宋_GB2312" w:hAnsi="仿宋_GB2312" w:eastAsia="仿宋_GB2312" w:cs="仿宋_GB2312"/>
                <w:sz w:val="24"/>
              </w:rPr>
            </w:pPr>
          </w:p>
        </w:tc>
        <w:tc>
          <w:tcPr>
            <w:tcW w:w="1842" w:type="dxa"/>
            <w:noWrap w:val="0"/>
            <w:vAlign w:val="center"/>
          </w:tcPr>
          <w:p>
            <w:pPr>
              <w:spacing w:line="320" w:lineRule="exact"/>
              <w:jc w:val="center"/>
              <w:rPr>
                <w:rFonts w:hint="eastAsia" w:ascii="仿宋_GB2312" w:hAnsi="仿宋_GB2312" w:eastAsia="仿宋_GB2312" w:cs="仿宋_GB2312"/>
                <w:sz w:val="24"/>
              </w:rPr>
            </w:pPr>
          </w:p>
        </w:tc>
        <w:tc>
          <w:tcPr>
            <w:tcW w:w="1810" w:type="dxa"/>
            <w:noWrap w:val="0"/>
            <w:vAlign w:val="top"/>
          </w:tcPr>
          <w:p>
            <w:pPr>
              <w:spacing w:line="32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0" w:hRule="atLeast"/>
          <w:jc w:val="center"/>
        </w:trPr>
        <w:tc>
          <w:tcPr>
            <w:tcW w:w="924" w:type="dxa"/>
            <w:vMerge w:val="continue"/>
            <w:noWrap w:val="0"/>
            <w:vAlign w:val="center"/>
          </w:tcPr>
          <w:p>
            <w:pPr>
              <w:spacing w:line="320" w:lineRule="exact"/>
              <w:rPr>
                <w:rFonts w:hint="eastAsia" w:ascii="仿宋_GB2312" w:hAnsi="仿宋_GB2312" w:eastAsia="仿宋_GB2312" w:cs="仿宋_GB2312"/>
                <w:sz w:val="24"/>
              </w:rPr>
            </w:pPr>
          </w:p>
        </w:tc>
        <w:tc>
          <w:tcPr>
            <w:tcW w:w="4448" w:type="dxa"/>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9.全面落实行政裁量权基准制度，围绕行政处罚、行政许可、行政征收征用、行政确认、行政给付、行政强制、行政检查等职权事项，在2023年年底前自治区本级行政执法机关建立完善本系统行政裁量权基准及其适用规则，明确和规范适用条件、情形，并向社会公布，设区的市、县级人民政府及部门可以按照有关要求制定完善行政裁量权基准，实现行政裁量标准制度化、行为规范化、管理科学化。</w:t>
            </w:r>
          </w:p>
        </w:tc>
        <w:tc>
          <w:tcPr>
            <w:tcW w:w="1212" w:type="dxa"/>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自治区各行政执法机关，各市、县（区）人民政府</w:t>
            </w:r>
          </w:p>
        </w:tc>
        <w:tc>
          <w:tcPr>
            <w:tcW w:w="1546" w:type="dxa"/>
            <w:noWrap w:val="0"/>
            <w:vAlign w:val="center"/>
          </w:tcPr>
          <w:p>
            <w:pPr>
              <w:spacing w:line="32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rPr>
              <w:t>2023年底前自治区本级建立完善行政裁量权基准及其适用规则</w:t>
            </w:r>
            <w:r>
              <w:rPr>
                <w:rFonts w:hint="eastAsia" w:ascii="仿宋_GB2312" w:hAnsi="仿宋_GB2312" w:eastAsia="仿宋_GB2312" w:cs="仿宋_GB2312"/>
                <w:sz w:val="24"/>
                <w:lang w:eastAsia="zh-CN"/>
              </w:rPr>
              <w:t>，设区的市、县按照要求制定完善行政裁量权基准</w:t>
            </w:r>
          </w:p>
        </w:tc>
        <w:tc>
          <w:tcPr>
            <w:tcW w:w="2556" w:type="dxa"/>
            <w:noWrap w:val="0"/>
            <w:vAlign w:val="center"/>
          </w:tcPr>
          <w:p>
            <w:pPr>
              <w:spacing w:line="320" w:lineRule="exact"/>
              <w:rPr>
                <w:rFonts w:hint="eastAsia" w:ascii="仿宋_GB2312" w:hAnsi="仿宋_GB2312" w:eastAsia="仿宋_GB2312" w:cs="仿宋_GB2312"/>
                <w:sz w:val="24"/>
              </w:rPr>
            </w:pPr>
          </w:p>
        </w:tc>
        <w:tc>
          <w:tcPr>
            <w:tcW w:w="1842" w:type="dxa"/>
            <w:noWrap w:val="0"/>
            <w:vAlign w:val="center"/>
          </w:tcPr>
          <w:p>
            <w:pPr>
              <w:spacing w:line="320" w:lineRule="exact"/>
              <w:jc w:val="center"/>
              <w:rPr>
                <w:rFonts w:hint="eastAsia" w:ascii="仿宋_GB2312" w:hAnsi="仿宋_GB2312" w:eastAsia="仿宋_GB2312" w:cs="仿宋_GB2312"/>
                <w:sz w:val="24"/>
              </w:rPr>
            </w:pPr>
          </w:p>
        </w:tc>
        <w:tc>
          <w:tcPr>
            <w:tcW w:w="1810" w:type="dxa"/>
            <w:noWrap w:val="0"/>
            <w:vAlign w:val="top"/>
          </w:tcPr>
          <w:p>
            <w:pPr>
              <w:spacing w:line="32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5" w:hRule="atLeast"/>
          <w:jc w:val="center"/>
        </w:trPr>
        <w:tc>
          <w:tcPr>
            <w:tcW w:w="924" w:type="dxa"/>
            <w:vMerge w:val="restart"/>
            <w:noWrap w:val="0"/>
            <w:vAlign w:val="center"/>
          </w:tcPr>
          <w:p>
            <w:pPr>
              <w:spacing w:line="320" w:lineRule="exact"/>
              <w:rPr>
                <w:rFonts w:hint="eastAsia" w:ascii="仿宋_GB2312" w:hAnsi="仿宋_GB2312" w:eastAsia="仿宋_GB2312" w:cs="仿宋_GB2312"/>
                <w:sz w:val="24"/>
              </w:rPr>
            </w:pPr>
          </w:p>
        </w:tc>
        <w:tc>
          <w:tcPr>
            <w:tcW w:w="4448" w:type="dxa"/>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10.加强行政裁量权基准动态管理，严格落实《宁夏回族自治区规范行政裁量权办法》，根据法律、法规、规章“立、改、废、释”以及行政裁量权定期评估情况及时进行修改完善，解决执法随意、过罚不当等问题。严格落实行政规范性文件制定要求，及时将制定行政裁量权基准有关文件按规定报送备案审查。</w:t>
            </w:r>
          </w:p>
        </w:tc>
        <w:tc>
          <w:tcPr>
            <w:tcW w:w="1212" w:type="dxa"/>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自治区各行政执法机关，各市、县（区）人民政府</w:t>
            </w:r>
          </w:p>
        </w:tc>
        <w:tc>
          <w:tcPr>
            <w:tcW w:w="1546" w:type="dxa"/>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长期坚持</w:t>
            </w:r>
          </w:p>
        </w:tc>
        <w:tc>
          <w:tcPr>
            <w:tcW w:w="2556" w:type="dxa"/>
            <w:noWrap w:val="0"/>
            <w:vAlign w:val="center"/>
          </w:tcPr>
          <w:p>
            <w:pPr>
              <w:spacing w:line="320" w:lineRule="exact"/>
              <w:rPr>
                <w:rFonts w:hint="eastAsia" w:ascii="仿宋_GB2312" w:hAnsi="仿宋_GB2312" w:eastAsia="仿宋_GB2312" w:cs="仿宋_GB2312"/>
                <w:sz w:val="24"/>
              </w:rPr>
            </w:pPr>
          </w:p>
        </w:tc>
        <w:tc>
          <w:tcPr>
            <w:tcW w:w="1842" w:type="dxa"/>
            <w:noWrap w:val="0"/>
            <w:vAlign w:val="center"/>
          </w:tcPr>
          <w:p>
            <w:pPr>
              <w:spacing w:line="320" w:lineRule="exact"/>
              <w:jc w:val="center"/>
              <w:rPr>
                <w:rFonts w:hint="eastAsia" w:ascii="仿宋_GB2312" w:hAnsi="仿宋_GB2312" w:eastAsia="仿宋_GB2312" w:cs="仿宋_GB2312"/>
                <w:sz w:val="24"/>
              </w:rPr>
            </w:pPr>
          </w:p>
        </w:tc>
        <w:tc>
          <w:tcPr>
            <w:tcW w:w="1810" w:type="dxa"/>
            <w:noWrap w:val="0"/>
            <w:vAlign w:val="top"/>
          </w:tcPr>
          <w:p>
            <w:pPr>
              <w:spacing w:line="32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3" w:hRule="atLeast"/>
          <w:jc w:val="center"/>
        </w:trPr>
        <w:tc>
          <w:tcPr>
            <w:tcW w:w="924" w:type="dxa"/>
            <w:vMerge w:val="continue"/>
            <w:noWrap w:val="0"/>
            <w:vAlign w:val="center"/>
          </w:tcPr>
          <w:p>
            <w:pPr>
              <w:spacing w:line="320" w:lineRule="exact"/>
              <w:rPr>
                <w:rFonts w:hint="eastAsia" w:ascii="仿宋_GB2312" w:hAnsi="仿宋_GB2312" w:eastAsia="仿宋_GB2312" w:cs="仿宋_GB2312"/>
                <w:sz w:val="24"/>
              </w:rPr>
            </w:pPr>
          </w:p>
        </w:tc>
        <w:tc>
          <w:tcPr>
            <w:tcW w:w="4448" w:type="dxa"/>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11.全面落实行政执法公示制度、执法全过程记录制度、重大执法决定法制审核制度，2024年6月底前对标自治区行政执法三项制度各项要求，组织开展行政执法三项制度自查评估，全面实现执法信息公开透明、执法全过程留痕、执法决定合法有效。</w:t>
            </w:r>
          </w:p>
        </w:tc>
        <w:tc>
          <w:tcPr>
            <w:tcW w:w="1212" w:type="dxa"/>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自治区各行政执法机关，各市、县（区）人民政府</w:t>
            </w:r>
          </w:p>
        </w:tc>
        <w:tc>
          <w:tcPr>
            <w:tcW w:w="1546" w:type="dxa"/>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长期坚持</w:t>
            </w:r>
          </w:p>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（2024年6月底前开展自查评估）</w:t>
            </w:r>
          </w:p>
        </w:tc>
        <w:tc>
          <w:tcPr>
            <w:tcW w:w="2556" w:type="dxa"/>
            <w:noWrap w:val="0"/>
            <w:vAlign w:val="center"/>
          </w:tcPr>
          <w:p>
            <w:pPr>
              <w:spacing w:line="320" w:lineRule="exact"/>
              <w:rPr>
                <w:rFonts w:hint="eastAsia" w:ascii="仿宋_GB2312" w:hAnsi="仿宋_GB2312" w:eastAsia="仿宋_GB2312" w:cs="仿宋_GB2312"/>
                <w:sz w:val="24"/>
              </w:rPr>
            </w:pPr>
          </w:p>
        </w:tc>
        <w:tc>
          <w:tcPr>
            <w:tcW w:w="1842" w:type="dxa"/>
            <w:noWrap w:val="0"/>
            <w:vAlign w:val="center"/>
          </w:tcPr>
          <w:p>
            <w:pPr>
              <w:spacing w:line="320" w:lineRule="exact"/>
              <w:jc w:val="center"/>
              <w:rPr>
                <w:rFonts w:hint="eastAsia" w:ascii="仿宋_GB2312" w:hAnsi="仿宋_GB2312" w:eastAsia="仿宋_GB2312" w:cs="仿宋_GB2312"/>
                <w:sz w:val="24"/>
              </w:rPr>
            </w:pPr>
          </w:p>
        </w:tc>
        <w:tc>
          <w:tcPr>
            <w:tcW w:w="1810" w:type="dxa"/>
            <w:noWrap w:val="0"/>
            <w:vAlign w:val="top"/>
          </w:tcPr>
          <w:p>
            <w:pPr>
              <w:spacing w:line="32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5" w:hRule="atLeast"/>
          <w:jc w:val="center"/>
        </w:trPr>
        <w:tc>
          <w:tcPr>
            <w:tcW w:w="924" w:type="dxa"/>
            <w:vMerge w:val="continue"/>
            <w:noWrap w:val="0"/>
            <w:vAlign w:val="center"/>
          </w:tcPr>
          <w:p>
            <w:pPr>
              <w:spacing w:line="320" w:lineRule="exact"/>
              <w:rPr>
                <w:rFonts w:hint="eastAsia" w:ascii="仿宋_GB2312" w:hAnsi="仿宋_GB2312" w:eastAsia="仿宋_GB2312" w:cs="仿宋_GB2312"/>
                <w:sz w:val="24"/>
              </w:rPr>
            </w:pPr>
          </w:p>
        </w:tc>
        <w:tc>
          <w:tcPr>
            <w:tcW w:w="4448" w:type="dxa"/>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12.根据国家制定的行政处罚、行政检查、行政强制等执法种类行政执法文书基本格式标准和行政执法装备配备标准及技术规范指引，规范本部门行政执法文书使用，落实行政执法装备配备标准及技术规范指引，进一步提升行政执法规范化、标准化、精细化水平。</w:t>
            </w:r>
          </w:p>
        </w:tc>
        <w:tc>
          <w:tcPr>
            <w:tcW w:w="1212" w:type="dxa"/>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自治区各行政执法机关，各市、县（区）人民政府</w:t>
            </w:r>
          </w:p>
        </w:tc>
        <w:tc>
          <w:tcPr>
            <w:tcW w:w="1546" w:type="dxa"/>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长期坚持</w:t>
            </w:r>
          </w:p>
        </w:tc>
        <w:tc>
          <w:tcPr>
            <w:tcW w:w="2556" w:type="dxa"/>
            <w:noWrap w:val="0"/>
            <w:vAlign w:val="center"/>
          </w:tcPr>
          <w:p>
            <w:pPr>
              <w:spacing w:line="320" w:lineRule="exact"/>
              <w:rPr>
                <w:rFonts w:hint="eastAsia" w:ascii="仿宋_GB2312" w:hAnsi="仿宋_GB2312" w:eastAsia="仿宋_GB2312" w:cs="仿宋_GB2312"/>
                <w:sz w:val="24"/>
              </w:rPr>
            </w:pPr>
          </w:p>
        </w:tc>
        <w:tc>
          <w:tcPr>
            <w:tcW w:w="1842" w:type="dxa"/>
            <w:noWrap w:val="0"/>
            <w:vAlign w:val="center"/>
          </w:tcPr>
          <w:p>
            <w:pPr>
              <w:spacing w:line="320" w:lineRule="exact"/>
              <w:jc w:val="center"/>
              <w:rPr>
                <w:rFonts w:hint="eastAsia" w:ascii="仿宋_GB2312" w:hAnsi="仿宋_GB2312" w:eastAsia="仿宋_GB2312" w:cs="仿宋_GB2312"/>
                <w:sz w:val="24"/>
              </w:rPr>
            </w:pPr>
          </w:p>
        </w:tc>
        <w:tc>
          <w:tcPr>
            <w:tcW w:w="1810" w:type="dxa"/>
            <w:noWrap w:val="0"/>
            <w:vAlign w:val="top"/>
          </w:tcPr>
          <w:p>
            <w:pPr>
              <w:spacing w:line="32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2" w:hRule="atLeast"/>
          <w:jc w:val="center"/>
        </w:trPr>
        <w:tc>
          <w:tcPr>
            <w:tcW w:w="924" w:type="dxa"/>
            <w:noWrap w:val="0"/>
            <w:vAlign w:val="center"/>
          </w:tcPr>
          <w:p>
            <w:pPr>
              <w:spacing w:line="320" w:lineRule="exact"/>
              <w:rPr>
                <w:rFonts w:hint="eastAsia" w:ascii="仿宋_GB2312" w:hAnsi="仿宋_GB2312" w:eastAsia="仿宋_GB2312" w:cs="仿宋_GB2312"/>
                <w:sz w:val="24"/>
              </w:rPr>
            </w:pPr>
          </w:p>
        </w:tc>
        <w:tc>
          <w:tcPr>
            <w:tcW w:w="4448" w:type="dxa"/>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13.依法健全以信用为基础的新型监管机制，规范涉企行政检查，完善联合检查、“双随机、一公开”监管、非现场执法等工作机制，建立完善联合监管事项清单，推动监管信息共享互认，避免多头执法、重复检查；对直接涉及公共安全和人民群众生命健康等特殊行业、重点领域，依法依规实行全覆盖的重点监管。</w:t>
            </w:r>
          </w:p>
        </w:tc>
        <w:tc>
          <w:tcPr>
            <w:tcW w:w="1212" w:type="dxa"/>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自治区发展改革委、政府办公厅、市场监管厅，自治区各行政执法机关，各市、县（区）人民政府</w:t>
            </w:r>
          </w:p>
        </w:tc>
        <w:tc>
          <w:tcPr>
            <w:tcW w:w="1546" w:type="dxa"/>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长期坚持</w:t>
            </w:r>
          </w:p>
        </w:tc>
        <w:tc>
          <w:tcPr>
            <w:tcW w:w="2556" w:type="dxa"/>
            <w:noWrap w:val="0"/>
            <w:vAlign w:val="center"/>
          </w:tcPr>
          <w:p>
            <w:pPr>
              <w:spacing w:line="320" w:lineRule="exact"/>
              <w:rPr>
                <w:rFonts w:hint="eastAsia" w:ascii="仿宋_GB2312" w:hAnsi="仿宋_GB2312" w:eastAsia="仿宋_GB2312" w:cs="仿宋_GB2312"/>
                <w:sz w:val="24"/>
              </w:rPr>
            </w:pPr>
          </w:p>
        </w:tc>
        <w:tc>
          <w:tcPr>
            <w:tcW w:w="1842" w:type="dxa"/>
            <w:noWrap w:val="0"/>
            <w:vAlign w:val="center"/>
          </w:tcPr>
          <w:p>
            <w:pPr>
              <w:spacing w:line="320" w:lineRule="exact"/>
              <w:jc w:val="center"/>
              <w:rPr>
                <w:rFonts w:hint="eastAsia" w:ascii="仿宋_GB2312" w:hAnsi="仿宋_GB2312" w:eastAsia="仿宋_GB2312" w:cs="仿宋_GB2312"/>
                <w:sz w:val="24"/>
              </w:rPr>
            </w:pPr>
          </w:p>
        </w:tc>
        <w:tc>
          <w:tcPr>
            <w:tcW w:w="1810" w:type="dxa"/>
            <w:noWrap w:val="0"/>
            <w:vAlign w:val="top"/>
          </w:tcPr>
          <w:p>
            <w:pPr>
              <w:spacing w:line="32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jc w:val="center"/>
        </w:trPr>
        <w:tc>
          <w:tcPr>
            <w:tcW w:w="924" w:type="dxa"/>
            <w:noWrap w:val="0"/>
            <w:vAlign w:val="center"/>
          </w:tcPr>
          <w:p>
            <w:pPr>
              <w:spacing w:line="320" w:lineRule="exact"/>
              <w:rPr>
                <w:rFonts w:hint="eastAsia" w:ascii="仿宋_GB2312" w:hAnsi="仿宋_GB2312" w:eastAsia="仿宋_GB2312" w:cs="仿宋_GB2312"/>
                <w:sz w:val="24"/>
              </w:rPr>
            </w:pPr>
          </w:p>
        </w:tc>
        <w:tc>
          <w:tcPr>
            <w:tcW w:w="4448" w:type="dxa"/>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14.坚持处罚与教育相结合原则，充分发挥行政执法教育、引导功能。探索推行包容审慎执法监管方式，广泛运用说服教育、劝导示范、警示告诫、指导约谈等方式，让执法既有力度又有温度。综合运用多种方式督促引导受处罚企业加强合规管理、及时整改违法问题，防止以罚代管。</w:t>
            </w:r>
          </w:p>
        </w:tc>
        <w:tc>
          <w:tcPr>
            <w:tcW w:w="1212" w:type="dxa"/>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自治区各行政执法机关，各市、县（区）人民政府</w:t>
            </w:r>
          </w:p>
        </w:tc>
        <w:tc>
          <w:tcPr>
            <w:tcW w:w="1546" w:type="dxa"/>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长期坚持</w:t>
            </w:r>
          </w:p>
        </w:tc>
        <w:tc>
          <w:tcPr>
            <w:tcW w:w="2556" w:type="dxa"/>
            <w:noWrap w:val="0"/>
            <w:vAlign w:val="center"/>
          </w:tcPr>
          <w:p>
            <w:pPr>
              <w:spacing w:line="320" w:lineRule="exact"/>
              <w:rPr>
                <w:rFonts w:hint="eastAsia" w:ascii="仿宋_GB2312" w:hAnsi="仿宋_GB2312" w:eastAsia="仿宋_GB2312" w:cs="仿宋_GB2312"/>
                <w:sz w:val="24"/>
              </w:rPr>
            </w:pPr>
          </w:p>
        </w:tc>
        <w:tc>
          <w:tcPr>
            <w:tcW w:w="1842" w:type="dxa"/>
            <w:noWrap w:val="0"/>
            <w:vAlign w:val="center"/>
          </w:tcPr>
          <w:p>
            <w:pPr>
              <w:spacing w:line="320" w:lineRule="exact"/>
              <w:jc w:val="center"/>
              <w:rPr>
                <w:rFonts w:hint="eastAsia" w:ascii="仿宋_GB2312" w:hAnsi="仿宋_GB2312" w:eastAsia="仿宋_GB2312" w:cs="仿宋_GB2312"/>
                <w:sz w:val="24"/>
              </w:rPr>
            </w:pPr>
          </w:p>
        </w:tc>
        <w:tc>
          <w:tcPr>
            <w:tcW w:w="1810" w:type="dxa"/>
            <w:noWrap w:val="0"/>
            <w:vAlign w:val="top"/>
          </w:tcPr>
          <w:p>
            <w:pPr>
              <w:spacing w:line="32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4" w:type="dxa"/>
            <w:noWrap w:val="0"/>
            <w:vAlign w:val="center"/>
          </w:tcPr>
          <w:p>
            <w:pPr>
              <w:spacing w:line="320" w:lineRule="exact"/>
              <w:rPr>
                <w:rFonts w:hint="eastAsia" w:ascii="仿宋_GB2312" w:hAnsi="仿宋_GB2312" w:eastAsia="仿宋_GB2312" w:cs="仿宋_GB2312"/>
                <w:sz w:val="24"/>
              </w:rPr>
            </w:pPr>
          </w:p>
        </w:tc>
        <w:tc>
          <w:tcPr>
            <w:tcW w:w="4448" w:type="dxa"/>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15.完善涉民营企业行政执法违法行为投诉举报处理机制，依法保护民营企业和企业家权益。</w:t>
            </w:r>
          </w:p>
        </w:tc>
        <w:tc>
          <w:tcPr>
            <w:tcW w:w="1212" w:type="dxa"/>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自治区工业和信息化厅、市场监管厅，各行政执法机关，各市、县（区）人民政府</w:t>
            </w:r>
          </w:p>
        </w:tc>
        <w:tc>
          <w:tcPr>
            <w:tcW w:w="1546" w:type="dxa"/>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长期坚持</w:t>
            </w:r>
          </w:p>
        </w:tc>
        <w:tc>
          <w:tcPr>
            <w:tcW w:w="2556" w:type="dxa"/>
            <w:noWrap w:val="0"/>
            <w:vAlign w:val="center"/>
          </w:tcPr>
          <w:p>
            <w:pPr>
              <w:spacing w:line="320" w:lineRule="exact"/>
              <w:rPr>
                <w:rFonts w:hint="eastAsia" w:ascii="仿宋_GB2312" w:hAnsi="仿宋_GB2312" w:eastAsia="仿宋_GB2312" w:cs="仿宋_GB2312"/>
                <w:sz w:val="24"/>
              </w:rPr>
            </w:pPr>
          </w:p>
        </w:tc>
        <w:tc>
          <w:tcPr>
            <w:tcW w:w="1842" w:type="dxa"/>
            <w:noWrap w:val="0"/>
            <w:vAlign w:val="center"/>
          </w:tcPr>
          <w:p>
            <w:pPr>
              <w:spacing w:line="320" w:lineRule="exact"/>
              <w:jc w:val="center"/>
              <w:rPr>
                <w:rFonts w:hint="eastAsia" w:ascii="仿宋_GB2312" w:hAnsi="仿宋_GB2312" w:eastAsia="仿宋_GB2312" w:cs="仿宋_GB2312"/>
                <w:sz w:val="24"/>
              </w:rPr>
            </w:pPr>
          </w:p>
        </w:tc>
        <w:tc>
          <w:tcPr>
            <w:tcW w:w="1810" w:type="dxa"/>
            <w:noWrap w:val="0"/>
            <w:vAlign w:val="top"/>
          </w:tcPr>
          <w:p>
            <w:pPr>
              <w:spacing w:line="32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4" w:type="dxa"/>
            <w:vMerge w:val="restart"/>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三、健全完善行政执法工作体系</w:t>
            </w:r>
          </w:p>
        </w:tc>
        <w:tc>
          <w:tcPr>
            <w:tcW w:w="4448" w:type="dxa"/>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16.切实履行行政执法体制改革的法治协调职责，督促指导本级行政执法部门于2024年底前研究制定本部门行政处罚、行政强制、行政检查等事项的行政执法事项目录，并实行动态管理。</w:t>
            </w:r>
          </w:p>
        </w:tc>
        <w:tc>
          <w:tcPr>
            <w:tcW w:w="1212" w:type="dxa"/>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自治区司法厅，自治区有关行政执法机关，各市、县（区）人民政府</w:t>
            </w:r>
          </w:p>
        </w:tc>
        <w:tc>
          <w:tcPr>
            <w:tcW w:w="1546" w:type="dxa"/>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2024年底前</w:t>
            </w:r>
          </w:p>
        </w:tc>
        <w:tc>
          <w:tcPr>
            <w:tcW w:w="2556" w:type="dxa"/>
            <w:noWrap w:val="0"/>
            <w:vAlign w:val="center"/>
          </w:tcPr>
          <w:p>
            <w:pPr>
              <w:spacing w:line="320" w:lineRule="exact"/>
              <w:rPr>
                <w:rFonts w:hint="eastAsia" w:ascii="仿宋_GB2312" w:hAnsi="仿宋_GB2312" w:eastAsia="仿宋_GB2312" w:cs="仿宋_GB2312"/>
                <w:sz w:val="24"/>
              </w:rPr>
            </w:pPr>
          </w:p>
        </w:tc>
        <w:tc>
          <w:tcPr>
            <w:tcW w:w="1842" w:type="dxa"/>
            <w:noWrap w:val="0"/>
            <w:vAlign w:val="center"/>
          </w:tcPr>
          <w:p>
            <w:pPr>
              <w:spacing w:line="320" w:lineRule="exact"/>
              <w:jc w:val="center"/>
              <w:rPr>
                <w:rFonts w:hint="eastAsia" w:ascii="仿宋_GB2312" w:hAnsi="仿宋_GB2312" w:eastAsia="仿宋_GB2312" w:cs="仿宋_GB2312"/>
                <w:sz w:val="24"/>
              </w:rPr>
            </w:pPr>
          </w:p>
        </w:tc>
        <w:tc>
          <w:tcPr>
            <w:tcW w:w="1810" w:type="dxa"/>
            <w:noWrap w:val="0"/>
            <w:vAlign w:val="top"/>
          </w:tcPr>
          <w:p>
            <w:pPr>
              <w:spacing w:line="32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5" w:hRule="atLeast"/>
          <w:jc w:val="center"/>
        </w:trPr>
        <w:tc>
          <w:tcPr>
            <w:tcW w:w="924" w:type="dxa"/>
            <w:vMerge w:val="continue"/>
            <w:noWrap w:val="0"/>
            <w:vAlign w:val="center"/>
          </w:tcPr>
          <w:p>
            <w:pPr>
              <w:spacing w:line="320" w:lineRule="exact"/>
              <w:rPr>
                <w:rFonts w:hint="eastAsia" w:ascii="仿宋_GB2312" w:hAnsi="仿宋_GB2312" w:eastAsia="仿宋_GB2312" w:cs="仿宋_GB2312"/>
                <w:sz w:val="24"/>
              </w:rPr>
            </w:pPr>
          </w:p>
        </w:tc>
        <w:tc>
          <w:tcPr>
            <w:tcW w:w="4448" w:type="dxa"/>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17.2025年年底前适时组织开展行政执法事项的清理工作，结合国家行政执法事项清理工作，对虽有法定依据但五年未发生的、极少发生且没有实施必要的、交叉重复的等行政执法事项进行清理，提出拟取消、调整或者暂停实施的意见，按规定程序予以处理。</w:t>
            </w:r>
          </w:p>
        </w:tc>
        <w:tc>
          <w:tcPr>
            <w:tcW w:w="1212" w:type="dxa"/>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自治区司法厅，自治区各行政执法机关，各市、县（区）人民政府</w:t>
            </w:r>
          </w:p>
        </w:tc>
        <w:tc>
          <w:tcPr>
            <w:tcW w:w="1546" w:type="dxa"/>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2025年底前</w:t>
            </w:r>
          </w:p>
        </w:tc>
        <w:tc>
          <w:tcPr>
            <w:tcW w:w="2556" w:type="dxa"/>
            <w:noWrap w:val="0"/>
            <w:vAlign w:val="center"/>
          </w:tcPr>
          <w:p>
            <w:pPr>
              <w:spacing w:line="320" w:lineRule="exact"/>
              <w:rPr>
                <w:rFonts w:hint="eastAsia" w:ascii="仿宋_GB2312" w:hAnsi="仿宋_GB2312" w:eastAsia="仿宋_GB2312" w:cs="仿宋_GB2312"/>
                <w:sz w:val="24"/>
              </w:rPr>
            </w:pPr>
          </w:p>
        </w:tc>
        <w:tc>
          <w:tcPr>
            <w:tcW w:w="1842" w:type="dxa"/>
            <w:noWrap w:val="0"/>
            <w:vAlign w:val="center"/>
          </w:tcPr>
          <w:p>
            <w:pPr>
              <w:spacing w:line="320" w:lineRule="exact"/>
              <w:jc w:val="center"/>
              <w:rPr>
                <w:rFonts w:hint="eastAsia" w:ascii="仿宋_GB2312" w:hAnsi="仿宋_GB2312" w:eastAsia="仿宋_GB2312" w:cs="仿宋_GB2312"/>
                <w:sz w:val="24"/>
              </w:rPr>
            </w:pPr>
          </w:p>
        </w:tc>
        <w:tc>
          <w:tcPr>
            <w:tcW w:w="1810" w:type="dxa"/>
            <w:noWrap w:val="0"/>
            <w:vAlign w:val="top"/>
          </w:tcPr>
          <w:p>
            <w:pPr>
              <w:spacing w:line="32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4" w:type="dxa"/>
            <w:vMerge w:val="continue"/>
            <w:noWrap w:val="0"/>
            <w:vAlign w:val="center"/>
          </w:tcPr>
          <w:p>
            <w:pPr>
              <w:spacing w:line="320" w:lineRule="exact"/>
              <w:rPr>
                <w:rFonts w:hint="eastAsia" w:ascii="仿宋_GB2312" w:hAnsi="仿宋_GB2312" w:eastAsia="仿宋_GB2312" w:cs="仿宋_GB2312"/>
                <w:sz w:val="24"/>
              </w:rPr>
            </w:pPr>
          </w:p>
        </w:tc>
        <w:tc>
          <w:tcPr>
            <w:tcW w:w="4448" w:type="dxa"/>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18.城市管理、市场监管、生态环境、文化市场、交通运输、应急管理、农业等综合行政执法领域，要严格落实国家制定的本领域综合行政执法标准化指南，加强综合行政执法改革法治建设。</w:t>
            </w:r>
          </w:p>
        </w:tc>
        <w:tc>
          <w:tcPr>
            <w:tcW w:w="1212" w:type="dxa"/>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自治区住房城乡建设厅、市场监管厅、生态环境厅、文化和旅游厅、交通运输厅、应急管理厅、农业农村厅、司法厅，各市、县（区）人民政府</w:t>
            </w:r>
          </w:p>
        </w:tc>
        <w:tc>
          <w:tcPr>
            <w:tcW w:w="1546" w:type="dxa"/>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长期坚持</w:t>
            </w:r>
          </w:p>
        </w:tc>
        <w:tc>
          <w:tcPr>
            <w:tcW w:w="2556" w:type="dxa"/>
            <w:noWrap w:val="0"/>
            <w:vAlign w:val="center"/>
          </w:tcPr>
          <w:p>
            <w:pPr>
              <w:spacing w:line="320" w:lineRule="exact"/>
              <w:rPr>
                <w:rFonts w:hint="eastAsia" w:ascii="仿宋_GB2312" w:hAnsi="仿宋_GB2312" w:eastAsia="仿宋_GB2312" w:cs="仿宋_GB2312"/>
                <w:sz w:val="24"/>
              </w:rPr>
            </w:pPr>
          </w:p>
        </w:tc>
        <w:tc>
          <w:tcPr>
            <w:tcW w:w="1842" w:type="dxa"/>
            <w:noWrap w:val="0"/>
            <w:vAlign w:val="center"/>
          </w:tcPr>
          <w:p>
            <w:pPr>
              <w:spacing w:line="320" w:lineRule="exact"/>
              <w:jc w:val="center"/>
              <w:rPr>
                <w:rFonts w:hint="eastAsia" w:ascii="仿宋_GB2312" w:hAnsi="仿宋_GB2312" w:eastAsia="仿宋_GB2312" w:cs="仿宋_GB2312"/>
                <w:sz w:val="24"/>
              </w:rPr>
            </w:pPr>
          </w:p>
        </w:tc>
        <w:tc>
          <w:tcPr>
            <w:tcW w:w="1810" w:type="dxa"/>
            <w:noWrap w:val="0"/>
            <w:vAlign w:val="top"/>
          </w:tcPr>
          <w:p>
            <w:pPr>
              <w:spacing w:line="32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4" w:type="dxa"/>
            <w:vMerge w:val="continue"/>
            <w:noWrap w:val="0"/>
            <w:vAlign w:val="center"/>
          </w:tcPr>
          <w:p>
            <w:pPr>
              <w:spacing w:line="320" w:lineRule="exact"/>
              <w:rPr>
                <w:rFonts w:hint="eastAsia" w:ascii="仿宋_GB2312" w:hAnsi="仿宋_GB2312" w:eastAsia="仿宋_GB2312" w:cs="仿宋_GB2312"/>
                <w:sz w:val="24"/>
              </w:rPr>
            </w:pPr>
          </w:p>
        </w:tc>
        <w:tc>
          <w:tcPr>
            <w:tcW w:w="4448" w:type="dxa"/>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19.加强对赋权乡镇、街道行政执法事项的法制审核，指导、监督同级有关行政部门分区域、分类别依法研究提出可以赋权的行政执法事项清单。完善赋权事项评估和动态调整制度，2024年年底前，对已经下放乡镇、街道的行政执法事项至少进行一次评估，对基层接不住、监管跟不上的及时予以调整。2025年年底前，结合乡镇、街道行政执法工作情况，适时组织开展乡镇、街道行政执法规范化试点，形成可复制可推广经验，在全区范围进行推广，提升基层行政执法能力和水平。</w:t>
            </w:r>
          </w:p>
        </w:tc>
        <w:tc>
          <w:tcPr>
            <w:tcW w:w="1212" w:type="dxa"/>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自治区司法厅、政府办公厅，自治区有关行政执法机关，各市、县（区）人民政府</w:t>
            </w:r>
          </w:p>
        </w:tc>
        <w:tc>
          <w:tcPr>
            <w:tcW w:w="1546" w:type="dxa"/>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长期坚持</w:t>
            </w:r>
          </w:p>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（2024年底前开展评估；2025年底前开展行政执法规范化试点）</w:t>
            </w:r>
          </w:p>
        </w:tc>
        <w:tc>
          <w:tcPr>
            <w:tcW w:w="2556" w:type="dxa"/>
            <w:noWrap w:val="0"/>
            <w:vAlign w:val="center"/>
          </w:tcPr>
          <w:p>
            <w:pPr>
              <w:spacing w:line="320" w:lineRule="exact"/>
              <w:rPr>
                <w:rFonts w:hint="eastAsia" w:ascii="仿宋_GB2312" w:hAnsi="仿宋_GB2312" w:eastAsia="仿宋_GB2312" w:cs="仿宋_GB2312"/>
                <w:sz w:val="24"/>
              </w:rPr>
            </w:pPr>
          </w:p>
        </w:tc>
        <w:tc>
          <w:tcPr>
            <w:tcW w:w="1842" w:type="dxa"/>
            <w:noWrap w:val="0"/>
            <w:vAlign w:val="center"/>
          </w:tcPr>
          <w:p>
            <w:pPr>
              <w:spacing w:line="320" w:lineRule="exact"/>
              <w:jc w:val="center"/>
              <w:rPr>
                <w:rFonts w:hint="eastAsia" w:ascii="仿宋_GB2312" w:hAnsi="仿宋_GB2312" w:eastAsia="仿宋_GB2312" w:cs="仿宋_GB2312"/>
                <w:sz w:val="24"/>
              </w:rPr>
            </w:pPr>
          </w:p>
        </w:tc>
        <w:tc>
          <w:tcPr>
            <w:tcW w:w="1810" w:type="dxa"/>
            <w:noWrap w:val="0"/>
            <w:vAlign w:val="top"/>
          </w:tcPr>
          <w:p>
            <w:pPr>
              <w:spacing w:line="32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jc w:val="center"/>
        </w:trPr>
        <w:tc>
          <w:tcPr>
            <w:tcW w:w="924" w:type="dxa"/>
            <w:vMerge w:val="continue"/>
            <w:noWrap w:val="0"/>
            <w:vAlign w:val="center"/>
          </w:tcPr>
          <w:p>
            <w:pPr>
              <w:spacing w:line="320" w:lineRule="exact"/>
              <w:rPr>
                <w:rFonts w:hint="eastAsia" w:ascii="仿宋_GB2312" w:hAnsi="仿宋_GB2312" w:eastAsia="仿宋_GB2312" w:cs="仿宋_GB2312"/>
                <w:sz w:val="24"/>
              </w:rPr>
            </w:pPr>
          </w:p>
        </w:tc>
        <w:tc>
          <w:tcPr>
            <w:tcW w:w="4448" w:type="dxa"/>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20.健全事前事中事后监管有效衔接机制，加快完善行政审批部门与行业管理部门、综合执法部门间信息共享机制，建立健全跨部门、跨区域、跨层级的行政执法协作机制，着力解决衔接不畅、多头执法、重复执法问题。</w:t>
            </w:r>
          </w:p>
        </w:tc>
        <w:tc>
          <w:tcPr>
            <w:tcW w:w="1212" w:type="dxa"/>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自治区各行政执法机关，自治区司法厅，各市、县（区）人民政府</w:t>
            </w:r>
          </w:p>
        </w:tc>
        <w:tc>
          <w:tcPr>
            <w:tcW w:w="1546" w:type="dxa"/>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长期坚持</w:t>
            </w:r>
          </w:p>
        </w:tc>
        <w:tc>
          <w:tcPr>
            <w:tcW w:w="2556" w:type="dxa"/>
            <w:noWrap w:val="0"/>
            <w:vAlign w:val="center"/>
          </w:tcPr>
          <w:p>
            <w:pPr>
              <w:spacing w:line="320" w:lineRule="exact"/>
              <w:rPr>
                <w:rFonts w:hint="eastAsia" w:ascii="仿宋_GB2312" w:hAnsi="仿宋_GB2312" w:eastAsia="仿宋_GB2312" w:cs="仿宋_GB2312"/>
                <w:sz w:val="24"/>
              </w:rPr>
            </w:pPr>
          </w:p>
        </w:tc>
        <w:tc>
          <w:tcPr>
            <w:tcW w:w="1842" w:type="dxa"/>
            <w:noWrap w:val="0"/>
            <w:vAlign w:val="center"/>
          </w:tcPr>
          <w:p>
            <w:pPr>
              <w:spacing w:line="320" w:lineRule="exact"/>
              <w:jc w:val="center"/>
              <w:rPr>
                <w:rFonts w:hint="eastAsia" w:ascii="仿宋_GB2312" w:hAnsi="仿宋_GB2312" w:eastAsia="仿宋_GB2312" w:cs="仿宋_GB2312"/>
                <w:sz w:val="24"/>
              </w:rPr>
            </w:pPr>
          </w:p>
        </w:tc>
        <w:tc>
          <w:tcPr>
            <w:tcW w:w="1810" w:type="dxa"/>
            <w:noWrap w:val="0"/>
            <w:vAlign w:val="top"/>
          </w:tcPr>
          <w:p>
            <w:pPr>
              <w:spacing w:line="32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24" w:type="dxa"/>
            <w:vMerge w:val="continue"/>
            <w:noWrap w:val="0"/>
            <w:vAlign w:val="center"/>
          </w:tcPr>
          <w:p>
            <w:pPr>
              <w:spacing w:line="320" w:lineRule="exact"/>
              <w:rPr>
                <w:rFonts w:hint="eastAsia" w:ascii="仿宋_GB2312" w:hAnsi="仿宋_GB2312" w:eastAsia="仿宋_GB2312" w:cs="仿宋_GB2312"/>
                <w:sz w:val="24"/>
              </w:rPr>
            </w:pPr>
          </w:p>
        </w:tc>
        <w:tc>
          <w:tcPr>
            <w:tcW w:w="4448" w:type="dxa"/>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21.完善行政执法管辖、法律适用等争议协调机制，修订《宁夏回族自治区行政执法争议协调处理办法》，明确行政执法争议协调主体，规范行政执法协调工作，妥善解决行政执法争议。</w:t>
            </w:r>
          </w:p>
        </w:tc>
        <w:tc>
          <w:tcPr>
            <w:tcW w:w="1212" w:type="dxa"/>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自治区司法厅，自治区各行政执法机关，各市、县（区）人民政府</w:t>
            </w:r>
          </w:p>
        </w:tc>
        <w:tc>
          <w:tcPr>
            <w:tcW w:w="1546" w:type="dxa"/>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长期坚持</w:t>
            </w:r>
          </w:p>
        </w:tc>
        <w:tc>
          <w:tcPr>
            <w:tcW w:w="2556" w:type="dxa"/>
            <w:noWrap w:val="0"/>
            <w:vAlign w:val="center"/>
          </w:tcPr>
          <w:p>
            <w:pPr>
              <w:spacing w:line="320" w:lineRule="exact"/>
              <w:rPr>
                <w:rFonts w:hint="eastAsia" w:ascii="仿宋_GB2312" w:hAnsi="仿宋_GB2312" w:eastAsia="仿宋_GB2312" w:cs="仿宋_GB2312"/>
                <w:sz w:val="24"/>
              </w:rPr>
            </w:pPr>
          </w:p>
        </w:tc>
        <w:tc>
          <w:tcPr>
            <w:tcW w:w="1842" w:type="dxa"/>
            <w:noWrap w:val="0"/>
            <w:vAlign w:val="center"/>
          </w:tcPr>
          <w:p>
            <w:pPr>
              <w:spacing w:line="320" w:lineRule="exact"/>
              <w:jc w:val="center"/>
              <w:rPr>
                <w:rFonts w:hint="eastAsia" w:ascii="仿宋_GB2312" w:hAnsi="仿宋_GB2312" w:eastAsia="仿宋_GB2312" w:cs="仿宋_GB2312"/>
                <w:sz w:val="24"/>
              </w:rPr>
            </w:pPr>
          </w:p>
        </w:tc>
        <w:tc>
          <w:tcPr>
            <w:tcW w:w="1810" w:type="dxa"/>
            <w:noWrap w:val="0"/>
            <w:vAlign w:val="top"/>
          </w:tcPr>
          <w:p>
            <w:pPr>
              <w:spacing w:line="32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3" w:hRule="atLeast"/>
          <w:jc w:val="center"/>
        </w:trPr>
        <w:tc>
          <w:tcPr>
            <w:tcW w:w="924" w:type="dxa"/>
            <w:vMerge w:val="continue"/>
            <w:noWrap w:val="0"/>
            <w:vAlign w:val="center"/>
          </w:tcPr>
          <w:p>
            <w:pPr>
              <w:spacing w:line="320" w:lineRule="exact"/>
              <w:rPr>
                <w:rFonts w:hint="eastAsia" w:ascii="仿宋_GB2312" w:hAnsi="仿宋_GB2312" w:eastAsia="仿宋_GB2312" w:cs="仿宋_GB2312"/>
                <w:sz w:val="24"/>
              </w:rPr>
            </w:pPr>
          </w:p>
        </w:tc>
        <w:tc>
          <w:tcPr>
            <w:tcW w:w="4448" w:type="dxa"/>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22.全面贯彻落实国务院《行政执法机关移送涉嫌犯罪案件的规定》，严格执行《自治区行政执法工作与检察监督工作相衔接的若干规定》，加强行政执法机关和公安、检察机关协调配合，坚决杜绝有案不移、以罚代刑等现象。</w:t>
            </w:r>
          </w:p>
        </w:tc>
        <w:tc>
          <w:tcPr>
            <w:tcW w:w="1212" w:type="dxa"/>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自治区公安厅、司法厅，自治区各行政执法机关，各市、县（区）人民政府</w:t>
            </w:r>
          </w:p>
        </w:tc>
        <w:tc>
          <w:tcPr>
            <w:tcW w:w="1546" w:type="dxa"/>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长期坚持</w:t>
            </w:r>
          </w:p>
        </w:tc>
        <w:tc>
          <w:tcPr>
            <w:tcW w:w="2556" w:type="dxa"/>
            <w:noWrap w:val="0"/>
            <w:vAlign w:val="center"/>
          </w:tcPr>
          <w:p>
            <w:pPr>
              <w:spacing w:line="320" w:lineRule="exact"/>
              <w:rPr>
                <w:rFonts w:hint="eastAsia" w:ascii="仿宋_GB2312" w:hAnsi="仿宋_GB2312" w:eastAsia="仿宋_GB2312" w:cs="仿宋_GB2312"/>
                <w:sz w:val="24"/>
              </w:rPr>
            </w:pPr>
          </w:p>
        </w:tc>
        <w:tc>
          <w:tcPr>
            <w:tcW w:w="1842" w:type="dxa"/>
            <w:noWrap w:val="0"/>
            <w:vAlign w:val="center"/>
          </w:tcPr>
          <w:p>
            <w:pPr>
              <w:spacing w:line="320" w:lineRule="exact"/>
              <w:jc w:val="center"/>
              <w:rPr>
                <w:rFonts w:hint="eastAsia" w:ascii="仿宋_GB2312" w:hAnsi="仿宋_GB2312" w:eastAsia="仿宋_GB2312" w:cs="仿宋_GB2312"/>
                <w:sz w:val="24"/>
              </w:rPr>
            </w:pPr>
          </w:p>
        </w:tc>
        <w:tc>
          <w:tcPr>
            <w:tcW w:w="1810" w:type="dxa"/>
            <w:noWrap w:val="0"/>
            <w:vAlign w:val="top"/>
          </w:tcPr>
          <w:p>
            <w:pPr>
              <w:spacing w:line="32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924" w:type="dxa"/>
            <w:vMerge w:val="continue"/>
            <w:noWrap w:val="0"/>
            <w:vAlign w:val="center"/>
          </w:tcPr>
          <w:p>
            <w:pPr>
              <w:spacing w:line="320" w:lineRule="exact"/>
              <w:rPr>
                <w:rFonts w:hint="eastAsia" w:ascii="仿宋_GB2312" w:hAnsi="仿宋_GB2312" w:eastAsia="仿宋_GB2312" w:cs="仿宋_GB2312"/>
                <w:sz w:val="24"/>
              </w:rPr>
            </w:pPr>
          </w:p>
        </w:tc>
        <w:tc>
          <w:tcPr>
            <w:tcW w:w="4448" w:type="dxa"/>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23.加强行政执法机关与纪检监察机关的协作配合，及时依规依纪依法移送行政执法过程中发现的有关问题线索。</w:t>
            </w:r>
          </w:p>
        </w:tc>
        <w:tc>
          <w:tcPr>
            <w:tcW w:w="1212" w:type="dxa"/>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自治区各行政执法机关，各市、县（区）人民政府</w:t>
            </w:r>
          </w:p>
        </w:tc>
        <w:tc>
          <w:tcPr>
            <w:tcW w:w="1546" w:type="dxa"/>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长期坚持</w:t>
            </w:r>
          </w:p>
        </w:tc>
        <w:tc>
          <w:tcPr>
            <w:tcW w:w="2556" w:type="dxa"/>
            <w:noWrap w:val="0"/>
            <w:vAlign w:val="center"/>
          </w:tcPr>
          <w:p>
            <w:pPr>
              <w:spacing w:line="320" w:lineRule="exact"/>
              <w:rPr>
                <w:rFonts w:hint="eastAsia" w:ascii="仿宋_GB2312" w:hAnsi="仿宋_GB2312" w:eastAsia="仿宋_GB2312" w:cs="仿宋_GB2312"/>
                <w:sz w:val="24"/>
              </w:rPr>
            </w:pPr>
          </w:p>
        </w:tc>
        <w:tc>
          <w:tcPr>
            <w:tcW w:w="1842" w:type="dxa"/>
            <w:noWrap w:val="0"/>
            <w:vAlign w:val="center"/>
          </w:tcPr>
          <w:p>
            <w:pPr>
              <w:spacing w:line="320" w:lineRule="exact"/>
              <w:jc w:val="center"/>
              <w:rPr>
                <w:rFonts w:hint="eastAsia" w:ascii="仿宋_GB2312" w:hAnsi="仿宋_GB2312" w:eastAsia="仿宋_GB2312" w:cs="仿宋_GB2312"/>
                <w:sz w:val="24"/>
              </w:rPr>
            </w:pPr>
          </w:p>
        </w:tc>
        <w:tc>
          <w:tcPr>
            <w:tcW w:w="1810" w:type="dxa"/>
            <w:noWrap w:val="0"/>
            <w:vAlign w:val="top"/>
          </w:tcPr>
          <w:p>
            <w:pPr>
              <w:spacing w:line="32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4" w:type="dxa"/>
            <w:vMerge w:val="restart"/>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四、加快构建行政执法协调监督工作体系</w:t>
            </w:r>
          </w:p>
        </w:tc>
        <w:tc>
          <w:tcPr>
            <w:tcW w:w="4448" w:type="dxa"/>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24.国务院行政执法监督条例制定出台后，及时修订完善《宁夏回族自治区行政执法监督条例》，进一步规范行政执法监督体制、监督职责、监督内容、监督方式、监督程序、责任体系等内容。</w:t>
            </w:r>
          </w:p>
        </w:tc>
        <w:tc>
          <w:tcPr>
            <w:tcW w:w="1212" w:type="dxa"/>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自治区司法厅</w:t>
            </w:r>
          </w:p>
        </w:tc>
        <w:tc>
          <w:tcPr>
            <w:tcW w:w="1546" w:type="dxa"/>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长期坚持</w:t>
            </w:r>
          </w:p>
        </w:tc>
        <w:tc>
          <w:tcPr>
            <w:tcW w:w="2556" w:type="dxa"/>
            <w:noWrap w:val="0"/>
            <w:vAlign w:val="center"/>
          </w:tcPr>
          <w:p>
            <w:pPr>
              <w:spacing w:line="320" w:lineRule="exact"/>
              <w:rPr>
                <w:rFonts w:hint="eastAsia" w:ascii="仿宋_GB2312" w:hAnsi="仿宋_GB2312" w:eastAsia="仿宋_GB2312" w:cs="仿宋_GB2312"/>
                <w:sz w:val="24"/>
              </w:rPr>
            </w:pPr>
          </w:p>
        </w:tc>
        <w:tc>
          <w:tcPr>
            <w:tcW w:w="1842" w:type="dxa"/>
            <w:noWrap w:val="0"/>
            <w:vAlign w:val="center"/>
          </w:tcPr>
          <w:p>
            <w:pPr>
              <w:spacing w:line="320" w:lineRule="exact"/>
              <w:jc w:val="center"/>
              <w:rPr>
                <w:rFonts w:hint="eastAsia" w:ascii="仿宋_GB2312" w:hAnsi="仿宋_GB2312" w:eastAsia="仿宋_GB2312" w:cs="仿宋_GB2312"/>
                <w:sz w:val="24"/>
              </w:rPr>
            </w:pPr>
          </w:p>
        </w:tc>
        <w:tc>
          <w:tcPr>
            <w:tcW w:w="1810" w:type="dxa"/>
            <w:noWrap w:val="0"/>
            <w:vAlign w:val="top"/>
          </w:tcPr>
          <w:p>
            <w:pPr>
              <w:spacing w:line="32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4" w:type="dxa"/>
            <w:vMerge w:val="continue"/>
            <w:noWrap w:val="0"/>
            <w:vAlign w:val="center"/>
          </w:tcPr>
          <w:p>
            <w:pPr>
              <w:spacing w:line="320" w:lineRule="exact"/>
              <w:rPr>
                <w:rFonts w:hint="eastAsia" w:ascii="仿宋_GB2312" w:hAnsi="仿宋_GB2312" w:eastAsia="仿宋_GB2312" w:cs="仿宋_GB2312"/>
                <w:sz w:val="24"/>
              </w:rPr>
            </w:pPr>
          </w:p>
        </w:tc>
        <w:tc>
          <w:tcPr>
            <w:tcW w:w="4448" w:type="dxa"/>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25.健全完善行政执法监督配套工作制度，推进监督检查、案卷评查、案例指导等工作常态化，不断创新行政执法监督方式方法，强化行政执法监督力度。</w:t>
            </w:r>
          </w:p>
        </w:tc>
        <w:tc>
          <w:tcPr>
            <w:tcW w:w="1212" w:type="dxa"/>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自治区司法厅，自治区各行政执法机关，各市、县（区）人民政府</w:t>
            </w:r>
          </w:p>
        </w:tc>
        <w:tc>
          <w:tcPr>
            <w:tcW w:w="1546" w:type="dxa"/>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长期坚持</w:t>
            </w:r>
          </w:p>
        </w:tc>
        <w:tc>
          <w:tcPr>
            <w:tcW w:w="2556" w:type="dxa"/>
            <w:noWrap w:val="0"/>
            <w:vAlign w:val="center"/>
          </w:tcPr>
          <w:p>
            <w:pPr>
              <w:spacing w:line="320" w:lineRule="exact"/>
              <w:rPr>
                <w:rFonts w:hint="eastAsia" w:ascii="仿宋_GB2312" w:hAnsi="仿宋_GB2312" w:eastAsia="仿宋_GB2312" w:cs="仿宋_GB2312"/>
                <w:sz w:val="24"/>
              </w:rPr>
            </w:pPr>
          </w:p>
        </w:tc>
        <w:tc>
          <w:tcPr>
            <w:tcW w:w="1842" w:type="dxa"/>
            <w:noWrap w:val="0"/>
            <w:vAlign w:val="center"/>
          </w:tcPr>
          <w:p>
            <w:pPr>
              <w:spacing w:line="320" w:lineRule="exact"/>
              <w:jc w:val="center"/>
              <w:rPr>
                <w:rFonts w:hint="eastAsia" w:ascii="仿宋_GB2312" w:hAnsi="仿宋_GB2312" w:eastAsia="仿宋_GB2312" w:cs="仿宋_GB2312"/>
                <w:sz w:val="24"/>
              </w:rPr>
            </w:pPr>
          </w:p>
        </w:tc>
        <w:tc>
          <w:tcPr>
            <w:tcW w:w="1810" w:type="dxa"/>
            <w:noWrap w:val="0"/>
            <w:vAlign w:val="top"/>
          </w:tcPr>
          <w:p>
            <w:pPr>
              <w:spacing w:line="32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4" w:type="dxa"/>
            <w:vMerge w:val="continue"/>
            <w:noWrap w:val="0"/>
            <w:vAlign w:val="center"/>
          </w:tcPr>
          <w:p>
            <w:pPr>
              <w:spacing w:line="320" w:lineRule="exact"/>
              <w:rPr>
                <w:rFonts w:hint="eastAsia" w:ascii="仿宋_GB2312" w:hAnsi="仿宋_GB2312" w:eastAsia="仿宋_GB2312" w:cs="仿宋_GB2312"/>
                <w:sz w:val="24"/>
              </w:rPr>
            </w:pPr>
          </w:p>
        </w:tc>
        <w:tc>
          <w:tcPr>
            <w:tcW w:w="4448" w:type="dxa"/>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26.强化上级行政机关对下级行政机关行政执法工作的全方位、全流程监督，充分发挥对本系统行政执法监督作用，严格履行常态化、长效化监督。</w:t>
            </w:r>
          </w:p>
        </w:tc>
        <w:tc>
          <w:tcPr>
            <w:tcW w:w="1212" w:type="dxa"/>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自治区各行政执法机关，各市、县（区）人民政府</w:t>
            </w:r>
          </w:p>
        </w:tc>
        <w:tc>
          <w:tcPr>
            <w:tcW w:w="1546" w:type="dxa"/>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长期坚持</w:t>
            </w:r>
          </w:p>
        </w:tc>
        <w:tc>
          <w:tcPr>
            <w:tcW w:w="2556" w:type="dxa"/>
            <w:noWrap w:val="0"/>
            <w:vAlign w:val="center"/>
          </w:tcPr>
          <w:p>
            <w:pPr>
              <w:spacing w:line="320" w:lineRule="exact"/>
              <w:rPr>
                <w:rFonts w:hint="eastAsia" w:ascii="仿宋_GB2312" w:hAnsi="仿宋_GB2312" w:eastAsia="仿宋_GB2312" w:cs="仿宋_GB2312"/>
                <w:sz w:val="24"/>
              </w:rPr>
            </w:pPr>
          </w:p>
        </w:tc>
        <w:tc>
          <w:tcPr>
            <w:tcW w:w="1842" w:type="dxa"/>
            <w:noWrap w:val="0"/>
            <w:vAlign w:val="center"/>
          </w:tcPr>
          <w:p>
            <w:pPr>
              <w:spacing w:line="320" w:lineRule="exact"/>
              <w:jc w:val="center"/>
              <w:rPr>
                <w:rFonts w:hint="eastAsia" w:ascii="仿宋_GB2312" w:hAnsi="仿宋_GB2312" w:eastAsia="仿宋_GB2312" w:cs="仿宋_GB2312"/>
                <w:sz w:val="24"/>
              </w:rPr>
            </w:pPr>
          </w:p>
        </w:tc>
        <w:tc>
          <w:tcPr>
            <w:tcW w:w="1810" w:type="dxa"/>
            <w:noWrap w:val="0"/>
            <w:vAlign w:val="top"/>
          </w:tcPr>
          <w:p>
            <w:pPr>
              <w:spacing w:line="32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4" w:type="dxa"/>
            <w:vMerge w:val="continue"/>
            <w:noWrap w:val="0"/>
            <w:vAlign w:val="center"/>
          </w:tcPr>
          <w:p>
            <w:pPr>
              <w:spacing w:line="320" w:lineRule="exact"/>
              <w:rPr>
                <w:rFonts w:hint="eastAsia" w:ascii="仿宋_GB2312" w:hAnsi="仿宋_GB2312" w:eastAsia="仿宋_GB2312" w:cs="仿宋_GB2312"/>
                <w:sz w:val="24"/>
              </w:rPr>
            </w:pPr>
          </w:p>
        </w:tc>
        <w:tc>
          <w:tcPr>
            <w:tcW w:w="4448" w:type="dxa"/>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27.建立健全投诉举报、情况通报等制度，自觉接受人大、政协和司法机关监督，同时注重媒体舆论和人民群众的监督，对提出的意见、发现的问题，按规定依法处理。</w:t>
            </w:r>
          </w:p>
        </w:tc>
        <w:tc>
          <w:tcPr>
            <w:tcW w:w="1212" w:type="dxa"/>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自治区各行政执法机关，各市、县（区）人民政府</w:t>
            </w:r>
          </w:p>
        </w:tc>
        <w:tc>
          <w:tcPr>
            <w:tcW w:w="1546" w:type="dxa"/>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长期坚持</w:t>
            </w:r>
          </w:p>
        </w:tc>
        <w:tc>
          <w:tcPr>
            <w:tcW w:w="2556" w:type="dxa"/>
            <w:noWrap w:val="0"/>
            <w:vAlign w:val="center"/>
          </w:tcPr>
          <w:p>
            <w:pPr>
              <w:spacing w:line="320" w:lineRule="exact"/>
              <w:rPr>
                <w:rFonts w:hint="eastAsia" w:ascii="仿宋_GB2312" w:hAnsi="仿宋_GB2312" w:eastAsia="仿宋_GB2312" w:cs="仿宋_GB2312"/>
                <w:sz w:val="24"/>
              </w:rPr>
            </w:pPr>
          </w:p>
        </w:tc>
        <w:tc>
          <w:tcPr>
            <w:tcW w:w="1842" w:type="dxa"/>
            <w:noWrap w:val="0"/>
            <w:vAlign w:val="center"/>
          </w:tcPr>
          <w:p>
            <w:pPr>
              <w:spacing w:line="320" w:lineRule="exact"/>
              <w:jc w:val="center"/>
              <w:rPr>
                <w:rFonts w:hint="eastAsia" w:ascii="仿宋_GB2312" w:hAnsi="仿宋_GB2312" w:eastAsia="仿宋_GB2312" w:cs="仿宋_GB2312"/>
                <w:sz w:val="24"/>
              </w:rPr>
            </w:pPr>
          </w:p>
        </w:tc>
        <w:tc>
          <w:tcPr>
            <w:tcW w:w="1810" w:type="dxa"/>
            <w:noWrap w:val="0"/>
            <w:vAlign w:val="top"/>
          </w:tcPr>
          <w:p>
            <w:pPr>
              <w:spacing w:line="32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4" w:type="dxa"/>
            <w:vMerge w:val="continue"/>
            <w:noWrap w:val="0"/>
            <w:vAlign w:val="center"/>
          </w:tcPr>
          <w:p>
            <w:pPr>
              <w:spacing w:line="320" w:lineRule="exact"/>
              <w:rPr>
                <w:rFonts w:hint="eastAsia" w:ascii="仿宋_GB2312" w:hAnsi="仿宋_GB2312" w:eastAsia="仿宋_GB2312" w:cs="仿宋_GB2312"/>
                <w:sz w:val="24"/>
              </w:rPr>
            </w:pPr>
          </w:p>
        </w:tc>
        <w:tc>
          <w:tcPr>
            <w:tcW w:w="4448" w:type="dxa"/>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28.充分发挥行政执法监督统筹协调、规范保障、督促指导作用，2024年年底前基本建成制度完善、机制健全、责任明确、监督有力、运转高效的区市县乡四级全覆盖的行政执法协调监督工作体系。</w:t>
            </w:r>
          </w:p>
        </w:tc>
        <w:tc>
          <w:tcPr>
            <w:tcW w:w="1212" w:type="dxa"/>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自治区司法厅，各市、县（区）人民政府</w:t>
            </w:r>
          </w:p>
        </w:tc>
        <w:tc>
          <w:tcPr>
            <w:tcW w:w="1546" w:type="dxa"/>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长期坚持</w:t>
            </w:r>
          </w:p>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（2024年底前基本建成区市县乡四级全覆盖的行政执法协调监督工作体系）</w:t>
            </w:r>
          </w:p>
        </w:tc>
        <w:tc>
          <w:tcPr>
            <w:tcW w:w="2556" w:type="dxa"/>
            <w:noWrap w:val="0"/>
            <w:vAlign w:val="center"/>
          </w:tcPr>
          <w:p>
            <w:pPr>
              <w:spacing w:line="320" w:lineRule="exact"/>
              <w:rPr>
                <w:rFonts w:hint="eastAsia" w:ascii="仿宋_GB2312" w:hAnsi="仿宋_GB2312" w:eastAsia="仿宋_GB2312" w:cs="仿宋_GB2312"/>
                <w:sz w:val="24"/>
              </w:rPr>
            </w:pPr>
          </w:p>
        </w:tc>
        <w:tc>
          <w:tcPr>
            <w:tcW w:w="1842" w:type="dxa"/>
            <w:noWrap w:val="0"/>
            <w:vAlign w:val="center"/>
          </w:tcPr>
          <w:p>
            <w:pPr>
              <w:spacing w:line="320" w:lineRule="exact"/>
              <w:jc w:val="center"/>
              <w:rPr>
                <w:rFonts w:hint="eastAsia" w:ascii="仿宋_GB2312" w:hAnsi="仿宋_GB2312" w:eastAsia="仿宋_GB2312" w:cs="仿宋_GB2312"/>
                <w:sz w:val="24"/>
              </w:rPr>
            </w:pPr>
          </w:p>
        </w:tc>
        <w:tc>
          <w:tcPr>
            <w:tcW w:w="1810" w:type="dxa"/>
            <w:noWrap w:val="0"/>
            <w:vAlign w:val="top"/>
          </w:tcPr>
          <w:p>
            <w:pPr>
              <w:spacing w:line="32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4" w:type="dxa"/>
            <w:vMerge w:val="continue"/>
            <w:noWrap w:val="0"/>
            <w:vAlign w:val="center"/>
          </w:tcPr>
          <w:p>
            <w:pPr>
              <w:spacing w:line="320" w:lineRule="exact"/>
              <w:rPr>
                <w:rFonts w:hint="eastAsia" w:ascii="仿宋_GB2312" w:hAnsi="仿宋_GB2312" w:eastAsia="仿宋_GB2312" w:cs="仿宋_GB2312"/>
                <w:sz w:val="24"/>
              </w:rPr>
            </w:pPr>
          </w:p>
        </w:tc>
        <w:tc>
          <w:tcPr>
            <w:tcW w:w="4448" w:type="dxa"/>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29.积极探索司法所协助县级人民政府司法行政部门开展乡镇、街道行政执法监督工作的方式方法，按规定组织乡镇、街道开展重大行政决策合法性审查、行政规范性文件合法性审核和重大行政执法决定法制审核等工作。</w:t>
            </w:r>
          </w:p>
        </w:tc>
        <w:tc>
          <w:tcPr>
            <w:tcW w:w="1212" w:type="dxa"/>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自治区司法厅，各市、县（区）人民政府</w:t>
            </w:r>
          </w:p>
        </w:tc>
        <w:tc>
          <w:tcPr>
            <w:tcW w:w="1546" w:type="dxa"/>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长期坚持</w:t>
            </w:r>
          </w:p>
        </w:tc>
        <w:tc>
          <w:tcPr>
            <w:tcW w:w="2556" w:type="dxa"/>
            <w:noWrap w:val="0"/>
            <w:vAlign w:val="center"/>
          </w:tcPr>
          <w:p>
            <w:pPr>
              <w:spacing w:line="320" w:lineRule="exact"/>
              <w:rPr>
                <w:rFonts w:hint="eastAsia" w:ascii="仿宋_GB2312" w:hAnsi="仿宋_GB2312" w:eastAsia="仿宋_GB2312" w:cs="仿宋_GB2312"/>
                <w:sz w:val="24"/>
              </w:rPr>
            </w:pPr>
          </w:p>
        </w:tc>
        <w:tc>
          <w:tcPr>
            <w:tcW w:w="1842" w:type="dxa"/>
            <w:noWrap w:val="0"/>
            <w:vAlign w:val="center"/>
          </w:tcPr>
          <w:p>
            <w:pPr>
              <w:spacing w:line="320" w:lineRule="exact"/>
              <w:jc w:val="center"/>
              <w:rPr>
                <w:rFonts w:hint="eastAsia" w:ascii="仿宋_GB2312" w:hAnsi="仿宋_GB2312" w:eastAsia="仿宋_GB2312" w:cs="仿宋_GB2312"/>
                <w:sz w:val="24"/>
              </w:rPr>
            </w:pPr>
          </w:p>
        </w:tc>
        <w:tc>
          <w:tcPr>
            <w:tcW w:w="1810" w:type="dxa"/>
            <w:noWrap w:val="0"/>
            <w:vAlign w:val="top"/>
          </w:tcPr>
          <w:p>
            <w:pPr>
              <w:spacing w:line="32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7" w:hRule="atLeast"/>
          <w:jc w:val="center"/>
        </w:trPr>
        <w:tc>
          <w:tcPr>
            <w:tcW w:w="924" w:type="dxa"/>
            <w:vMerge w:val="restart"/>
            <w:noWrap w:val="0"/>
            <w:vAlign w:val="center"/>
          </w:tcPr>
          <w:p>
            <w:pPr>
              <w:spacing w:line="320" w:lineRule="exact"/>
              <w:rPr>
                <w:rFonts w:hint="eastAsia" w:ascii="仿宋_GB2312" w:hAnsi="仿宋_GB2312" w:eastAsia="仿宋_GB2312" w:cs="仿宋_GB2312"/>
                <w:sz w:val="24"/>
              </w:rPr>
            </w:pPr>
          </w:p>
        </w:tc>
        <w:tc>
          <w:tcPr>
            <w:tcW w:w="4448" w:type="dxa"/>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30.建立行政执法工作年度报告制度，结合行政执法三项制度中行政执法数据统计年报要求，将行政执法培训、规范行政执法行为、开展行政执法等工作情况于每年1月15日前同步报送本级司法行政部门和上级主管部门，并予以公开。</w:t>
            </w:r>
          </w:p>
        </w:tc>
        <w:tc>
          <w:tcPr>
            <w:tcW w:w="1212" w:type="dxa"/>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自治区司法厅，自治区各行政执法机关，各市、县（区）人民政府</w:t>
            </w:r>
          </w:p>
        </w:tc>
        <w:tc>
          <w:tcPr>
            <w:tcW w:w="1546" w:type="dxa"/>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长期坚持</w:t>
            </w:r>
          </w:p>
        </w:tc>
        <w:tc>
          <w:tcPr>
            <w:tcW w:w="2556" w:type="dxa"/>
            <w:noWrap w:val="0"/>
            <w:vAlign w:val="center"/>
          </w:tcPr>
          <w:p>
            <w:pPr>
              <w:spacing w:line="320" w:lineRule="exact"/>
              <w:rPr>
                <w:rFonts w:hint="eastAsia" w:ascii="仿宋_GB2312" w:hAnsi="仿宋_GB2312" w:eastAsia="仿宋_GB2312" w:cs="仿宋_GB2312"/>
                <w:sz w:val="24"/>
              </w:rPr>
            </w:pPr>
          </w:p>
        </w:tc>
        <w:tc>
          <w:tcPr>
            <w:tcW w:w="1842" w:type="dxa"/>
            <w:noWrap w:val="0"/>
            <w:vAlign w:val="center"/>
          </w:tcPr>
          <w:p>
            <w:pPr>
              <w:spacing w:line="320" w:lineRule="exact"/>
              <w:jc w:val="center"/>
              <w:rPr>
                <w:rFonts w:hint="eastAsia" w:ascii="仿宋_GB2312" w:hAnsi="仿宋_GB2312" w:eastAsia="仿宋_GB2312" w:cs="仿宋_GB2312"/>
                <w:sz w:val="24"/>
              </w:rPr>
            </w:pPr>
          </w:p>
        </w:tc>
        <w:tc>
          <w:tcPr>
            <w:tcW w:w="1810" w:type="dxa"/>
            <w:noWrap w:val="0"/>
            <w:vAlign w:val="top"/>
          </w:tcPr>
          <w:p>
            <w:pPr>
              <w:spacing w:line="32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3" w:hRule="atLeast"/>
          <w:jc w:val="center"/>
        </w:trPr>
        <w:tc>
          <w:tcPr>
            <w:tcW w:w="924" w:type="dxa"/>
            <w:vMerge w:val="continue"/>
            <w:noWrap w:val="0"/>
            <w:vAlign w:val="center"/>
          </w:tcPr>
          <w:p>
            <w:pPr>
              <w:spacing w:line="320" w:lineRule="exact"/>
              <w:rPr>
                <w:rFonts w:hint="eastAsia" w:ascii="仿宋_GB2312" w:hAnsi="仿宋_GB2312" w:eastAsia="仿宋_GB2312" w:cs="仿宋_GB2312"/>
                <w:sz w:val="24"/>
              </w:rPr>
            </w:pPr>
          </w:p>
        </w:tc>
        <w:tc>
          <w:tcPr>
            <w:tcW w:w="4448" w:type="dxa"/>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31.每年3月底前，研究制定本地区年度行政执法监督工作方案，综合运用行政执法工作报告、统计分析、评议考核等方式，对行政执法工作情况开展经常性监督，督促行政执法机关全面履行行政执法职能。</w:t>
            </w:r>
          </w:p>
        </w:tc>
        <w:tc>
          <w:tcPr>
            <w:tcW w:w="1212" w:type="dxa"/>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自治区司法厅，各市、县（区）人民政府</w:t>
            </w:r>
          </w:p>
        </w:tc>
        <w:tc>
          <w:tcPr>
            <w:tcW w:w="1546" w:type="dxa"/>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长期坚持</w:t>
            </w:r>
          </w:p>
        </w:tc>
        <w:tc>
          <w:tcPr>
            <w:tcW w:w="2556" w:type="dxa"/>
            <w:noWrap w:val="0"/>
            <w:vAlign w:val="center"/>
          </w:tcPr>
          <w:p>
            <w:pPr>
              <w:spacing w:line="320" w:lineRule="exact"/>
              <w:rPr>
                <w:rFonts w:hint="eastAsia" w:ascii="仿宋_GB2312" w:hAnsi="仿宋_GB2312" w:eastAsia="仿宋_GB2312" w:cs="仿宋_GB2312"/>
                <w:sz w:val="24"/>
              </w:rPr>
            </w:pPr>
          </w:p>
        </w:tc>
        <w:tc>
          <w:tcPr>
            <w:tcW w:w="1842" w:type="dxa"/>
            <w:noWrap w:val="0"/>
            <w:vAlign w:val="center"/>
          </w:tcPr>
          <w:p>
            <w:pPr>
              <w:spacing w:line="320" w:lineRule="exact"/>
              <w:jc w:val="center"/>
              <w:rPr>
                <w:rFonts w:hint="eastAsia" w:ascii="仿宋_GB2312" w:hAnsi="仿宋_GB2312" w:eastAsia="仿宋_GB2312" w:cs="仿宋_GB2312"/>
                <w:sz w:val="24"/>
              </w:rPr>
            </w:pPr>
          </w:p>
        </w:tc>
        <w:tc>
          <w:tcPr>
            <w:tcW w:w="1810" w:type="dxa"/>
            <w:noWrap w:val="0"/>
            <w:vAlign w:val="top"/>
          </w:tcPr>
          <w:p>
            <w:pPr>
              <w:spacing w:line="32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5" w:hRule="atLeast"/>
          <w:jc w:val="center"/>
        </w:trPr>
        <w:tc>
          <w:tcPr>
            <w:tcW w:w="924" w:type="dxa"/>
            <w:vMerge w:val="continue"/>
            <w:noWrap w:val="0"/>
            <w:vAlign w:val="center"/>
          </w:tcPr>
          <w:p>
            <w:pPr>
              <w:spacing w:line="320" w:lineRule="exact"/>
              <w:rPr>
                <w:rFonts w:hint="eastAsia" w:ascii="仿宋_GB2312" w:hAnsi="仿宋_GB2312" w:eastAsia="仿宋_GB2312" w:cs="仿宋_GB2312"/>
                <w:sz w:val="24"/>
              </w:rPr>
            </w:pPr>
          </w:p>
        </w:tc>
        <w:tc>
          <w:tcPr>
            <w:tcW w:w="4448" w:type="dxa"/>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32.行政执法机关中承担行政执法监督职责的机构，要加强对本部门本系统行政执法工作和重大行政执法案事件的统筹协调、日常监督和业务指导。</w:t>
            </w:r>
          </w:p>
        </w:tc>
        <w:tc>
          <w:tcPr>
            <w:tcW w:w="1212" w:type="dxa"/>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自治区各行政执法机关，各市、县（区）人民政府</w:t>
            </w:r>
          </w:p>
        </w:tc>
        <w:tc>
          <w:tcPr>
            <w:tcW w:w="1546" w:type="dxa"/>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长期坚持</w:t>
            </w:r>
          </w:p>
        </w:tc>
        <w:tc>
          <w:tcPr>
            <w:tcW w:w="2556" w:type="dxa"/>
            <w:noWrap w:val="0"/>
            <w:vAlign w:val="center"/>
          </w:tcPr>
          <w:p>
            <w:pPr>
              <w:spacing w:line="320" w:lineRule="exact"/>
              <w:rPr>
                <w:rFonts w:hint="eastAsia" w:ascii="仿宋_GB2312" w:hAnsi="仿宋_GB2312" w:eastAsia="仿宋_GB2312" w:cs="仿宋_GB2312"/>
                <w:sz w:val="24"/>
              </w:rPr>
            </w:pPr>
          </w:p>
        </w:tc>
        <w:tc>
          <w:tcPr>
            <w:tcW w:w="1842" w:type="dxa"/>
            <w:noWrap w:val="0"/>
            <w:vAlign w:val="center"/>
          </w:tcPr>
          <w:p>
            <w:pPr>
              <w:spacing w:line="320" w:lineRule="exact"/>
              <w:jc w:val="center"/>
              <w:rPr>
                <w:rFonts w:hint="eastAsia" w:ascii="仿宋_GB2312" w:hAnsi="仿宋_GB2312" w:eastAsia="仿宋_GB2312" w:cs="仿宋_GB2312"/>
                <w:sz w:val="24"/>
              </w:rPr>
            </w:pPr>
          </w:p>
        </w:tc>
        <w:tc>
          <w:tcPr>
            <w:tcW w:w="1810" w:type="dxa"/>
            <w:noWrap w:val="0"/>
            <w:vAlign w:val="top"/>
          </w:tcPr>
          <w:p>
            <w:pPr>
              <w:spacing w:line="32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8" w:hRule="atLeast"/>
          <w:jc w:val="center"/>
        </w:trPr>
        <w:tc>
          <w:tcPr>
            <w:tcW w:w="924" w:type="dxa"/>
            <w:vMerge w:val="continue"/>
            <w:noWrap w:val="0"/>
            <w:vAlign w:val="center"/>
          </w:tcPr>
          <w:p>
            <w:pPr>
              <w:spacing w:line="320" w:lineRule="exact"/>
              <w:rPr>
                <w:rFonts w:hint="eastAsia" w:ascii="仿宋_GB2312" w:hAnsi="仿宋_GB2312" w:eastAsia="仿宋_GB2312" w:cs="仿宋_GB2312"/>
                <w:sz w:val="24"/>
              </w:rPr>
            </w:pPr>
          </w:p>
        </w:tc>
        <w:tc>
          <w:tcPr>
            <w:tcW w:w="4448" w:type="dxa"/>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33.积极推进落实行政执法监督员制度，强化行政执法监督与行政复议、诉讼案件办理的有效衔接，完善行政执法监督与12345政务服务便民热线等监督渠道的信息共享工作机制。</w:t>
            </w:r>
          </w:p>
        </w:tc>
        <w:tc>
          <w:tcPr>
            <w:tcW w:w="1212" w:type="dxa"/>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自治区司法厅，各市、县（区）人民政府</w:t>
            </w:r>
          </w:p>
        </w:tc>
        <w:tc>
          <w:tcPr>
            <w:tcW w:w="1546" w:type="dxa"/>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长期坚持</w:t>
            </w:r>
          </w:p>
        </w:tc>
        <w:tc>
          <w:tcPr>
            <w:tcW w:w="2556" w:type="dxa"/>
            <w:noWrap w:val="0"/>
            <w:vAlign w:val="center"/>
          </w:tcPr>
          <w:p>
            <w:pPr>
              <w:spacing w:line="320" w:lineRule="exact"/>
              <w:rPr>
                <w:rFonts w:hint="eastAsia" w:ascii="仿宋_GB2312" w:hAnsi="仿宋_GB2312" w:eastAsia="仿宋_GB2312" w:cs="仿宋_GB2312"/>
                <w:sz w:val="24"/>
              </w:rPr>
            </w:pPr>
          </w:p>
        </w:tc>
        <w:tc>
          <w:tcPr>
            <w:tcW w:w="1842" w:type="dxa"/>
            <w:noWrap w:val="0"/>
            <w:vAlign w:val="center"/>
          </w:tcPr>
          <w:p>
            <w:pPr>
              <w:spacing w:line="320" w:lineRule="exact"/>
              <w:jc w:val="center"/>
              <w:rPr>
                <w:rFonts w:hint="eastAsia" w:ascii="仿宋_GB2312" w:hAnsi="仿宋_GB2312" w:eastAsia="仿宋_GB2312" w:cs="仿宋_GB2312"/>
                <w:sz w:val="24"/>
              </w:rPr>
            </w:pPr>
          </w:p>
        </w:tc>
        <w:tc>
          <w:tcPr>
            <w:tcW w:w="1810" w:type="dxa"/>
            <w:noWrap w:val="0"/>
            <w:vAlign w:val="top"/>
          </w:tcPr>
          <w:p>
            <w:pPr>
              <w:spacing w:line="32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5" w:hRule="atLeast"/>
          <w:jc w:val="center"/>
        </w:trPr>
        <w:tc>
          <w:tcPr>
            <w:tcW w:w="924" w:type="dxa"/>
            <w:vMerge w:val="restart"/>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五、健全行政执法和行政执法监督科技保障体系</w:t>
            </w:r>
          </w:p>
        </w:tc>
        <w:tc>
          <w:tcPr>
            <w:tcW w:w="4448" w:type="dxa"/>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34.持续推进自治区行政执法监督平台推广应用，加快平台标准化改造，实现执法基础数据、执法程序流转、执法信息公开等功能，构建行政执法和行政执法监督一体化平台，推行行政执法移动应用程序（APP）掌上执法，提升行政执法信息化水平。</w:t>
            </w:r>
          </w:p>
        </w:tc>
        <w:tc>
          <w:tcPr>
            <w:tcW w:w="1212" w:type="dxa"/>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自治区司法厅，自治区各行政执法机关，各市、县（区）人民政府</w:t>
            </w:r>
          </w:p>
        </w:tc>
        <w:tc>
          <w:tcPr>
            <w:tcW w:w="1546" w:type="dxa"/>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长期坚持</w:t>
            </w:r>
          </w:p>
        </w:tc>
        <w:tc>
          <w:tcPr>
            <w:tcW w:w="2556" w:type="dxa"/>
            <w:noWrap w:val="0"/>
            <w:vAlign w:val="center"/>
          </w:tcPr>
          <w:p>
            <w:pPr>
              <w:spacing w:line="320" w:lineRule="exact"/>
              <w:rPr>
                <w:rFonts w:hint="eastAsia" w:ascii="仿宋_GB2312" w:hAnsi="仿宋_GB2312" w:eastAsia="仿宋_GB2312" w:cs="仿宋_GB2312"/>
                <w:sz w:val="24"/>
              </w:rPr>
            </w:pPr>
          </w:p>
        </w:tc>
        <w:tc>
          <w:tcPr>
            <w:tcW w:w="1842" w:type="dxa"/>
            <w:noWrap w:val="0"/>
            <w:vAlign w:val="center"/>
          </w:tcPr>
          <w:p>
            <w:pPr>
              <w:spacing w:line="320" w:lineRule="exact"/>
              <w:jc w:val="center"/>
              <w:rPr>
                <w:rFonts w:hint="eastAsia" w:ascii="仿宋_GB2312" w:hAnsi="仿宋_GB2312" w:eastAsia="仿宋_GB2312" w:cs="仿宋_GB2312"/>
                <w:sz w:val="24"/>
              </w:rPr>
            </w:pPr>
          </w:p>
        </w:tc>
        <w:tc>
          <w:tcPr>
            <w:tcW w:w="1810" w:type="dxa"/>
            <w:noWrap w:val="0"/>
            <w:vAlign w:val="top"/>
          </w:tcPr>
          <w:p>
            <w:pPr>
              <w:spacing w:line="32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jc w:val="center"/>
        </w:trPr>
        <w:tc>
          <w:tcPr>
            <w:tcW w:w="924" w:type="dxa"/>
            <w:vMerge w:val="continue"/>
            <w:noWrap w:val="0"/>
            <w:vAlign w:val="center"/>
          </w:tcPr>
          <w:p>
            <w:pPr>
              <w:spacing w:line="320" w:lineRule="exact"/>
              <w:rPr>
                <w:rFonts w:hint="eastAsia" w:ascii="仿宋_GB2312" w:hAnsi="仿宋_GB2312" w:eastAsia="仿宋_GB2312" w:cs="仿宋_GB2312"/>
                <w:sz w:val="24"/>
              </w:rPr>
            </w:pPr>
          </w:p>
        </w:tc>
        <w:tc>
          <w:tcPr>
            <w:tcW w:w="4448" w:type="dxa"/>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35.推进自治区行政执法监督平台与全国行政执法综合管理监督信息系统、自治区“互联网+监管”系统等数据标准的相互兼容，形成自治区行政执法数据标准体系。</w:t>
            </w:r>
          </w:p>
        </w:tc>
        <w:tc>
          <w:tcPr>
            <w:tcW w:w="1212" w:type="dxa"/>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自治区司法厅、政府办公厅</w:t>
            </w:r>
          </w:p>
        </w:tc>
        <w:tc>
          <w:tcPr>
            <w:tcW w:w="1546" w:type="dxa"/>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长期坚持</w:t>
            </w:r>
          </w:p>
        </w:tc>
        <w:tc>
          <w:tcPr>
            <w:tcW w:w="2556" w:type="dxa"/>
            <w:noWrap w:val="0"/>
            <w:vAlign w:val="center"/>
          </w:tcPr>
          <w:p>
            <w:pPr>
              <w:spacing w:line="320" w:lineRule="exact"/>
              <w:rPr>
                <w:rFonts w:hint="eastAsia" w:ascii="仿宋_GB2312" w:hAnsi="仿宋_GB2312" w:eastAsia="仿宋_GB2312" w:cs="仿宋_GB2312"/>
                <w:sz w:val="24"/>
              </w:rPr>
            </w:pPr>
          </w:p>
        </w:tc>
        <w:tc>
          <w:tcPr>
            <w:tcW w:w="1842" w:type="dxa"/>
            <w:noWrap w:val="0"/>
            <w:vAlign w:val="center"/>
          </w:tcPr>
          <w:p>
            <w:pPr>
              <w:spacing w:line="320" w:lineRule="exact"/>
              <w:jc w:val="center"/>
              <w:rPr>
                <w:rFonts w:hint="eastAsia" w:ascii="仿宋_GB2312" w:hAnsi="仿宋_GB2312" w:eastAsia="仿宋_GB2312" w:cs="仿宋_GB2312"/>
                <w:sz w:val="24"/>
              </w:rPr>
            </w:pPr>
          </w:p>
        </w:tc>
        <w:tc>
          <w:tcPr>
            <w:tcW w:w="1810" w:type="dxa"/>
            <w:noWrap w:val="0"/>
            <w:vAlign w:val="top"/>
          </w:tcPr>
          <w:p>
            <w:pPr>
              <w:spacing w:line="32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4" w:type="dxa"/>
            <w:vMerge w:val="continue"/>
            <w:noWrap w:val="0"/>
            <w:vAlign w:val="center"/>
          </w:tcPr>
          <w:p>
            <w:pPr>
              <w:spacing w:line="320" w:lineRule="exact"/>
              <w:rPr>
                <w:rFonts w:hint="eastAsia" w:ascii="仿宋_GB2312" w:hAnsi="仿宋_GB2312" w:eastAsia="仿宋_GB2312" w:cs="仿宋_GB2312"/>
                <w:sz w:val="24"/>
              </w:rPr>
            </w:pPr>
          </w:p>
        </w:tc>
        <w:tc>
          <w:tcPr>
            <w:tcW w:w="4448" w:type="dxa"/>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36.建立健全行政执法数据归集共享机制，深化行政执法大数据分析运用，加快推进自治区行政执法监督平台与各地区、各有关部门业务系统执法数据的互联互通，2025年年底前形成自治区行政执法数据库。</w:t>
            </w:r>
          </w:p>
        </w:tc>
        <w:tc>
          <w:tcPr>
            <w:tcW w:w="1212" w:type="dxa"/>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自治区司法厅，自治区各行政执法机关，各市、县（区）人民政府</w:t>
            </w:r>
          </w:p>
        </w:tc>
        <w:tc>
          <w:tcPr>
            <w:tcW w:w="1546" w:type="dxa"/>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长期坚持（2025年底前形成自治区行政执法数据库）</w:t>
            </w:r>
          </w:p>
        </w:tc>
        <w:tc>
          <w:tcPr>
            <w:tcW w:w="2556" w:type="dxa"/>
            <w:noWrap w:val="0"/>
            <w:vAlign w:val="center"/>
          </w:tcPr>
          <w:p>
            <w:pPr>
              <w:spacing w:line="320" w:lineRule="exact"/>
              <w:rPr>
                <w:rFonts w:hint="eastAsia" w:ascii="仿宋_GB2312" w:hAnsi="仿宋_GB2312" w:eastAsia="仿宋_GB2312" w:cs="仿宋_GB2312"/>
                <w:sz w:val="24"/>
              </w:rPr>
            </w:pPr>
          </w:p>
        </w:tc>
        <w:tc>
          <w:tcPr>
            <w:tcW w:w="1842" w:type="dxa"/>
            <w:noWrap w:val="0"/>
            <w:vAlign w:val="center"/>
          </w:tcPr>
          <w:p>
            <w:pPr>
              <w:spacing w:line="320" w:lineRule="exact"/>
              <w:jc w:val="center"/>
              <w:rPr>
                <w:rFonts w:hint="eastAsia" w:ascii="仿宋_GB2312" w:hAnsi="仿宋_GB2312" w:eastAsia="仿宋_GB2312" w:cs="仿宋_GB2312"/>
                <w:sz w:val="24"/>
              </w:rPr>
            </w:pPr>
          </w:p>
        </w:tc>
        <w:tc>
          <w:tcPr>
            <w:tcW w:w="1810" w:type="dxa"/>
            <w:noWrap w:val="0"/>
            <w:vAlign w:val="top"/>
          </w:tcPr>
          <w:p>
            <w:pPr>
              <w:spacing w:line="32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8" w:hRule="atLeast"/>
          <w:jc w:val="center"/>
        </w:trPr>
        <w:tc>
          <w:tcPr>
            <w:tcW w:w="924" w:type="dxa"/>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六、不断强化行政执法保障能力</w:t>
            </w:r>
          </w:p>
        </w:tc>
        <w:tc>
          <w:tcPr>
            <w:tcW w:w="4448" w:type="dxa"/>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37.根据执法机构所承担的执法职责和执法工作任务，优化行政执法队伍人员结构，合理配备行政执法力量，确保执法职责、执法工作量相平衡，并注重执法机构队伍梯队建设。</w:t>
            </w:r>
          </w:p>
        </w:tc>
        <w:tc>
          <w:tcPr>
            <w:tcW w:w="1212" w:type="dxa"/>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自治区各行政执法机关，各市、县（区）人民政府</w:t>
            </w:r>
          </w:p>
        </w:tc>
        <w:tc>
          <w:tcPr>
            <w:tcW w:w="1546" w:type="dxa"/>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长期坚持</w:t>
            </w:r>
          </w:p>
        </w:tc>
        <w:tc>
          <w:tcPr>
            <w:tcW w:w="2556" w:type="dxa"/>
            <w:noWrap w:val="0"/>
            <w:vAlign w:val="center"/>
          </w:tcPr>
          <w:p>
            <w:pPr>
              <w:spacing w:line="320" w:lineRule="exact"/>
              <w:rPr>
                <w:rFonts w:hint="eastAsia" w:ascii="仿宋_GB2312" w:hAnsi="仿宋_GB2312" w:eastAsia="仿宋_GB2312" w:cs="仿宋_GB2312"/>
                <w:sz w:val="24"/>
              </w:rPr>
            </w:pPr>
          </w:p>
        </w:tc>
        <w:tc>
          <w:tcPr>
            <w:tcW w:w="1842" w:type="dxa"/>
            <w:noWrap w:val="0"/>
            <w:vAlign w:val="center"/>
          </w:tcPr>
          <w:p>
            <w:pPr>
              <w:spacing w:line="320" w:lineRule="exact"/>
              <w:jc w:val="center"/>
              <w:rPr>
                <w:rFonts w:hint="eastAsia" w:ascii="仿宋_GB2312" w:hAnsi="仿宋_GB2312" w:eastAsia="仿宋_GB2312" w:cs="仿宋_GB2312"/>
                <w:sz w:val="24"/>
              </w:rPr>
            </w:pPr>
          </w:p>
        </w:tc>
        <w:tc>
          <w:tcPr>
            <w:tcW w:w="1810" w:type="dxa"/>
            <w:noWrap w:val="0"/>
            <w:vAlign w:val="top"/>
          </w:tcPr>
          <w:p>
            <w:pPr>
              <w:spacing w:line="32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4" w:type="dxa"/>
            <w:vMerge w:val="restart"/>
            <w:noWrap w:val="0"/>
            <w:vAlign w:val="center"/>
          </w:tcPr>
          <w:p>
            <w:pPr>
              <w:spacing w:line="320" w:lineRule="exact"/>
              <w:rPr>
                <w:rFonts w:hint="eastAsia" w:ascii="仿宋_GB2312" w:hAnsi="仿宋_GB2312" w:eastAsia="仿宋_GB2312" w:cs="仿宋_GB2312"/>
                <w:sz w:val="24"/>
              </w:rPr>
            </w:pPr>
          </w:p>
        </w:tc>
        <w:tc>
          <w:tcPr>
            <w:tcW w:w="4448" w:type="dxa"/>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38.加强法制审核队伍的正规化、专业化、职业化建设，配强工作力量，使法制审核人员的配置与形势任务相适应，行政执法机关的法制审核人员不少于本单位执法人员总数的5%。结合工作实际需要，整合有关行政执法机关的法制审核力量，建立重大执法决定法制审核协作机制，强化法制审核实效。</w:t>
            </w:r>
          </w:p>
        </w:tc>
        <w:tc>
          <w:tcPr>
            <w:tcW w:w="1212" w:type="dxa"/>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自治区各行政执法机关，各市、县（区）人民政府</w:t>
            </w:r>
          </w:p>
        </w:tc>
        <w:tc>
          <w:tcPr>
            <w:tcW w:w="1546" w:type="dxa"/>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长期坚持</w:t>
            </w:r>
          </w:p>
        </w:tc>
        <w:tc>
          <w:tcPr>
            <w:tcW w:w="2556" w:type="dxa"/>
            <w:noWrap w:val="0"/>
            <w:vAlign w:val="center"/>
          </w:tcPr>
          <w:p>
            <w:pPr>
              <w:spacing w:line="320" w:lineRule="exact"/>
              <w:rPr>
                <w:rFonts w:hint="eastAsia" w:ascii="仿宋_GB2312" w:hAnsi="仿宋_GB2312" w:eastAsia="仿宋_GB2312" w:cs="仿宋_GB2312"/>
                <w:sz w:val="24"/>
              </w:rPr>
            </w:pPr>
          </w:p>
        </w:tc>
        <w:tc>
          <w:tcPr>
            <w:tcW w:w="1842" w:type="dxa"/>
            <w:noWrap w:val="0"/>
            <w:vAlign w:val="center"/>
          </w:tcPr>
          <w:p>
            <w:pPr>
              <w:spacing w:line="320" w:lineRule="exact"/>
              <w:jc w:val="center"/>
              <w:rPr>
                <w:rFonts w:hint="eastAsia" w:ascii="仿宋_GB2312" w:hAnsi="仿宋_GB2312" w:eastAsia="仿宋_GB2312" w:cs="仿宋_GB2312"/>
                <w:sz w:val="24"/>
              </w:rPr>
            </w:pPr>
          </w:p>
        </w:tc>
        <w:tc>
          <w:tcPr>
            <w:tcW w:w="1810" w:type="dxa"/>
            <w:noWrap w:val="0"/>
            <w:vAlign w:val="top"/>
          </w:tcPr>
          <w:p>
            <w:pPr>
              <w:spacing w:line="32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4" w:type="dxa"/>
            <w:vMerge w:val="continue"/>
            <w:noWrap w:val="0"/>
            <w:vAlign w:val="center"/>
          </w:tcPr>
          <w:p>
            <w:pPr>
              <w:spacing w:line="320" w:lineRule="exact"/>
              <w:rPr>
                <w:rFonts w:hint="eastAsia" w:ascii="仿宋_GB2312" w:hAnsi="仿宋_GB2312" w:eastAsia="仿宋_GB2312" w:cs="仿宋_GB2312"/>
                <w:sz w:val="24"/>
              </w:rPr>
            </w:pPr>
          </w:p>
        </w:tc>
        <w:tc>
          <w:tcPr>
            <w:tcW w:w="4448" w:type="dxa"/>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39.认真落实《关于推行法律顾问制度和公职律师公司律师制度的实施意见》，加强行政执法机关公职律师和法律顾问队伍建设，充分发挥法律顾问和公职律师在法制审核工作中的作用，对重大复杂疑难法律事务组织法律顾问和公职律师协助进行研究。</w:t>
            </w:r>
          </w:p>
        </w:tc>
        <w:tc>
          <w:tcPr>
            <w:tcW w:w="1212" w:type="dxa"/>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自治区各行政执法机关，各市、县（区）人民政府</w:t>
            </w:r>
          </w:p>
        </w:tc>
        <w:tc>
          <w:tcPr>
            <w:tcW w:w="1546" w:type="dxa"/>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长期坚持</w:t>
            </w:r>
          </w:p>
        </w:tc>
        <w:tc>
          <w:tcPr>
            <w:tcW w:w="2556" w:type="dxa"/>
            <w:noWrap w:val="0"/>
            <w:vAlign w:val="center"/>
          </w:tcPr>
          <w:p>
            <w:pPr>
              <w:spacing w:line="320" w:lineRule="exact"/>
              <w:rPr>
                <w:rFonts w:hint="eastAsia" w:ascii="仿宋_GB2312" w:hAnsi="仿宋_GB2312" w:eastAsia="仿宋_GB2312" w:cs="仿宋_GB2312"/>
                <w:sz w:val="24"/>
              </w:rPr>
            </w:pPr>
          </w:p>
        </w:tc>
        <w:tc>
          <w:tcPr>
            <w:tcW w:w="1842" w:type="dxa"/>
            <w:noWrap w:val="0"/>
            <w:vAlign w:val="center"/>
          </w:tcPr>
          <w:p>
            <w:pPr>
              <w:spacing w:line="320" w:lineRule="exact"/>
              <w:jc w:val="center"/>
              <w:rPr>
                <w:rFonts w:hint="eastAsia" w:ascii="仿宋_GB2312" w:hAnsi="仿宋_GB2312" w:eastAsia="仿宋_GB2312" w:cs="仿宋_GB2312"/>
                <w:sz w:val="24"/>
              </w:rPr>
            </w:pPr>
          </w:p>
        </w:tc>
        <w:tc>
          <w:tcPr>
            <w:tcW w:w="1810" w:type="dxa"/>
            <w:noWrap w:val="0"/>
            <w:vAlign w:val="top"/>
          </w:tcPr>
          <w:p>
            <w:pPr>
              <w:spacing w:line="32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4" w:type="dxa"/>
            <w:vMerge w:val="continue"/>
            <w:noWrap w:val="0"/>
            <w:vAlign w:val="center"/>
          </w:tcPr>
          <w:p>
            <w:pPr>
              <w:spacing w:line="320" w:lineRule="exact"/>
              <w:rPr>
                <w:rFonts w:hint="eastAsia" w:ascii="仿宋_GB2312" w:hAnsi="仿宋_GB2312" w:eastAsia="仿宋_GB2312" w:cs="仿宋_GB2312"/>
                <w:sz w:val="24"/>
              </w:rPr>
            </w:pPr>
          </w:p>
        </w:tc>
        <w:tc>
          <w:tcPr>
            <w:tcW w:w="4448" w:type="dxa"/>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40.严格落实行政执法责任追究，对不履行、不适当履行或者违法履行法定职责的，根据情况及时给予批评、离岗教育、调离执法岗位、取消执法资格及追究责任。落实尽职免予问责有关规定，对符合条件的可以予以免责，积极营造干事创业良好环境。</w:t>
            </w:r>
          </w:p>
        </w:tc>
        <w:tc>
          <w:tcPr>
            <w:tcW w:w="1212" w:type="dxa"/>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自治区司法厅，自治区各行政执法机关，各市、县（区）人民政府</w:t>
            </w:r>
          </w:p>
        </w:tc>
        <w:tc>
          <w:tcPr>
            <w:tcW w:w="1546" w:type="dxa"/>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长期坚持</w:t>
            </w:r>
          </w:p>
        </w:tc>
        <w:tc>
          <w:tcPr>
            <w:tcW w:w="2556" w:type="dxa"/>
            <w:noWrap w:val="0"/>
            <w:vAlign w:val="center"/>
          </w:tcPr>
          <w:p>
            <w:pPr>
              <w:spacing w:line="320" w:lineRule="exact"/>
              <w:rPr>
                <w:rFonts w:hint="eastAsia" w:ascii="仿宋_GB2312" w:hAnsi="仿宋_GB2312" w:eastAsia="仿宋_GB2312" w:cs="仿宋_GB2312"/>
                <w:sz w:val="24"/>
              </w:rPr>
            </w:pPr>
          </w:p>
        </w:tc>
        <w:tc>
          <w:tcPr>
            <w:tcW w:w="1842" w:type="dxa"/>
            <w:noWrap w:val="0"/>
            <w:vAlign w:val="center"/>
          </w:tcPr>
          <w:p>
            <w:pPr>
              <w:spacing w:line="320" w:lineRule="exact"/>
              <w:jc w:val="center"/>
              <w:rPr>
                <w:rFonts w:hint="eastAsia" w:ascii="仿宋_GB2312" w:hAnsi="仿宋_GB2312" w:eastAsia="仿宋_GB2312" w:cs="仿宋_GB2312"/>
                <w:sz w:val="24"/>
              </w:rPr>
            </w:pPr>
          </w:p>
        </w:tc>
        <w:tc>
          <w:tcPr>
            <w:tcW w:w="1810" w:type="dxa"/>
            <w:noWrap w:val="0"/>
            <w:vAlign w:val="top"/>
          </w:tcPr>
          <w:p>
            <w:pPr>
              <w:spacing w:line="32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4" w:type="dxa"/>
            <w:vMerge w:val="continue"/>
            <w:noWrap w:val="0"/>
            <w:vAlign w:val="center"/>
          </w:tcPr>
          <w:p>
            <w:pPr>
              <w:spacing w:line="320" w:lineRule="exact"/>
              <w:rPr>
                <w:rFonts w:hint="eastAsia" w:ascii="仿宋_GB2312" w:hAnsi="仿宋_GB2312" w:eastAsia="仿宋_GB2312" w:cs="仿宋_GB2312"/>
                <w:sz w:val="24"/>
              </w:rPr>
            </w:pPr>
          </w:p>
        </w:tc>
        <w:tc>
          <w:tcPr>
            <w:tcW w:w="4448" w:type="dxa"/>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41.保障行政执法人员待遇，落实完善行政执法人员工资待遇政策，强化行政执法人员职业保障，依法为基层一线行政执法人员办理保险，提高执法人员履职积极性，增强执法队伍稳定性。</w:t>
            </w:r>
          </w:p>
        </w:tc>
        <w:tc>
          <w:tcPr>
            <w:tcW w:w="1212" w:type="dxa"/>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自治区财政厅、人力资源社会保障厅，自治区各行政执法机关，各市、县（区）人民政府</w:t>
            </w:r>
          </w:p>
        </w:tc>
        <w:tc>
          <w:tcPr>
            <w:tcW w:w="1546" w:type="dxa"/>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长期坚持</w:t>
            </w:r>
          </w:p>
        </w:tc>
        <w:tc>
          <w:tcPr>
            <w:tcW w:w="2556" w:type="dxa"/>
            <w:noWrap w:val="0"/>
            <w:vAlign w:val="center"/>
          </w:tcPr>
          <w:p>
            <w:pPr>
              <w:spacing w:line="320" w:lineRule="exact"/>
              <w:rPr>
                <w:rFonts w:hint="eastAsia" w:ascii="仿宋_GB2312" w:hAnsi="仿宋_GB2312" w:eastAsia="仿宋_GB2312" w:cs="仿宋_GB2312"/>
                <w:sz w:val="24"/>
              </w:rPr>
            </w:pPr>
          </w:p>
        </w:tc>
        <w:tc>
          <w:tcPr>
            <w:tcW w:w="1842" w:type="dxa"/>
            <w:noWrap w:val="0"/>
            <w:vAlign w:val="center"/>
          </w:tcPr>
          <w:p>
            <w:pPr>
              <w:spacing w:line="320" w:lineRule="exact"/>
              <w:jc w:val="center"/>
              <w:rPr>
                <w:rFonts w:hint="eastAsia" w:ascii="仿宋_GB2312" w:hAnsi="仿宋_GB2312" w:eastAsia="仿宋_GB2312" w:cs="仿宋_GB2312"/>
                <w:sz w:val="24"/>
              </w:rPr>
            </w:pPr>
          </w:p>
        </w:tc>
        <w:tc>
          <w:tcPr>
            <w:tcW w:w="1810" w:type="dxa"/>
            <w:noWrap w:val="0"/>
            <w:vAlign w:val="top"/>
          </w:tcPr>
          <w:p>
            <w:pPr>
              <w:spacing w:line="32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4" w:type="dxa"/>
            <w:vMerge w:val="continue"/>
            <w:noWrap w:val="0"/>
            <w:vAlign w:val="center"/>
          </w:tcPr>
          <w:p>
            <w:pPr>
              <w:spacing w:line="320" w:lineRule="exact"/>
              <w:rPr>
                <w:rFonts w:hint="eastAsia" w:ascii="仿宋_GB2312" w:hAnsi="仿宋_GB2312" w:eastAsia="仿宋_GB2312" w:cs="仿宋_GB2312"/>
                <w:sz w:val="24"/>
              </w:rPr>
            </w:pPr>
          </w:p>
        </w:tc>
        <w:tc>
          <w:tcPr>
            <w:tcW w:w="4448" w:type="dxa"/>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42.完善行政执法人员心理咨询服务和危机干预机制，通过多种方式普及心理学知识，定期组织开展心理健康教育和心理训练活动，提高心理素质；遇到心理问题或者重大执法事件后要组织心理咨询师对执法人员进行及时的心理干预，帮助执法人员度过心理危机。</w:t>
            </w:r>
          </w:p>
        </w:tc>
        <w:tc>
          <w:tcPr>
            <w:tcW w:w="1212" w:type="dxa"/>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自治区各行政执法机关，各市、县（区）人民政府</w:t>
            </w:r>
          </w:p>
        </w:tc>
        <w:tc>
          <w:tcPr>
            <w:tcW w:w="1546" w:type="dxa"/>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长期坚持</w:t>
            </w:r>
          </w:p>
        </w:tc>
        <w:tc>
          <w:tcPr>
            <w:tcW w:w="2556" w:type="dxa"/>
            <w:noWrap w:val="0"/>
            <w:vAlign w:val="center"/>
          </w:tcPr>
          <w:p>
            <w:pPr>
              <w:spacing w:line="320" w:lineRule="exact"/>
              <w:rPr>
                <w:rFonts w:hint="eastAsia" w:ascii="仿宋_GB2312" w:hAnsi="仿宋_GB2312" w:eastAsia="仿宋_GB2312" w:cs="仿宋_GB2312"/>
                <w:sz w:val="24"/>
              </w:rPr>
            </w:pPr>
          </w:p>
        </w:tc>
        <w:tc>
          <w:tcPr>
            <w:tcW w:w="1842" w:type="dxa"/>
            <w:noWrap w:val="0"/>
            <w:vAlign w:val="center"/>
          </w:tcPr>
          <w:p>
            <w:pPr>
              <w:spacing w:line="320" w:lineRule="exact"/>
              <w:jc w:val="center"/>
              <w:rPr>
                <w:rFonts w:hint="eastAsia" w:ascii="仿宋_GB2312" w:hAnsi="仿宋_GB2312" w:eastAsia="仿宋_GB2312" w:cs="仿宋_GB2312"/>
                <w:sz w:val="24"/>
              </w:rPr>
            </w:pPr>
          </w:p>
        </w:tc>
        <w:tc>
          <w:tcPr>
            <w:tcW w:w="1810" w:type="dxa"/>
            <w:noWrap w:val="0"/>
            <w:vAlign w:val="top"/>
          </w:tcPr>
          <w:p>
            <w:pPr>
              <w:spacing w:line="32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4" w:type="dxa"/>
            <w:vMerge w:val="continue"/>
            <w:noWrap w:val="0"/>
            <w:vAlign w:val="center"/>
          </w:tcPr>
          <w:p>
            <w:pPr>
              <w:spacing w:line="320" w:lineRule="exact"/>
              <w:rPr>
                <w:rFonts w:hint="eastAsia" w:ascii="仿宋_GB2312" w:hAnsi="仿宋_GB2312" w:eastAsia="仿宋_GB2312" w:cs="仿宋_GB2312"/>
                <w:sz w:val="24"/>
              </w:rPr>
            </w:pPr>
          </w:p>
        </w:tc>
        <w:tc>
          <w:tcPr>
            <w:tcW w:w="4448" w:type="dxa"/>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43.按照自治区与市县财政事权和支出责任划分原则，将行政执法工作经费、行政执法装备配备纳入同级财政预算管理。合理保障行政执法经费投入力度，切实满足行政执法工作需要。</w:t>
            </w:r>
          </w:p>
        </w:tc>
        <w:tc>
          <w:tcPr>
            <w:tcW w:w="1212" w:type="dxa"/>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自治区各行政执法机关，自治区财政厅，各市、县（区）人民政府</w:t>
            </w:r>
          </w:p>
        </w:tc>
        <w:tc>
          <w:tcPr>
            <w:tcW w:w="1546" w:type="dxa"/>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长期坚持</w:t>
            </w:r>
          </w:p>
        </w:tc>
        <w:tc>
          <w:tcPr>
            <w:tcW w:w="2556" w:type="dxa"/>
            <w:noWrap w:val="0"/>
            <w:vAlign w:val="center"/>
          </w:tcPr>
          <w:p>
            <w:pPr>
              <w:spacing w:line="320" w:lineRule="exact"/>
              <w:rPr>
                <w:rFonts w:hint="eastAsia" w:ascii="仿宋_GB2312" w:hAnsi="仿宋_GB2312" w:eastAsia="仿宋_GB2312" w:cs="仿宋_GB2312"/>
                <w:sz w:val="24"/>
              </w:rPr>
            </w:pPr>
          </w:p>
        </w:tc>
        <w:tc>
          <w:tcPr>
            <w:tcW w:w="1842" w:type="dxa"/>
            <w:noWrap w:val="0"/>
            <w:vAlign w:val="center"/>
          </w:tcPr>
          <w:p>
            <w:pPr>
              <w:spacing w:line="320" w:lineRule="exact"/>
              <w:jc w:val="center"/>
              <w:rPr>
                <w:rFonts w:hint="eastAsia" w:ascii="仿宋_GB2312" w:hAnsi="仿宋_GB2312" w:eastAsia="仿宋_GB2312" w:cs="仿宋_GB2312"/>
                <w:sz w:val="24"/>
              </w:rPr>
            </w:pPr>
          </w:p>
        </w:tc>
        <w:tc>
          <w:tcPr>
            <w:tcW w:w="1810" w:type="dxa"/>
            <w:noWrap w:val="0"/>
            <w:vAlign w:val="top"/>
          </w:tcPr>
          <w:p>
            <w:pPr>
              <w:spacing w:line="320" w:lineRule="exact"/>
              <w:rPr>
                <w:rFonts w:hint="eastAsia" w:ascii="仿宋_GB2312" w:hAnsi="仿宋_GB2312" w:eastAsia="仿宋_GB2312" w:cs="仿宋_GB2312"/>
                <w:sz w:val="24"/>
              </w:rPr>
            </w:pPr>
          </w:p>
        </w:tc>
      </w:tr>
    </w:tbl>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p>
    <w:p>
      <w:pPr>
        <w:tabs>
          <w:tab w:val="left" w:pos="4739"/>
        </w:tabs>
        <w:rPr>
          <w:rFonts w:hint="eastAsia" w:ascii="仿宋_GB2312" w:hAnsi="宋体"/>
          <w:color w:val="auto"/>
          <w:szCs w:val="32"/>
        </w:rPr>
      </w:pPr>
      <w:bookmarkStart w:id="0" w:name="_GoBack"/>
      <w:bookmarkEnd w:id="0"/>
    </w:p>
    <w:p>
      <w:pPr>
        <w:tabs>
          <w:tab w:val="left" w:pos="4739"/>
        </w:tabs>
        <w:rPr>
          <w:rFonts w:hint="eastAsia" w:ascii="仿宋_GB2312" w:hAnsi="宋体"/>
          <w:color w:val="auto"/>
          <w:szCs w:val="32"/>
        </w:rPr>
      </w:pPr>
    </w:p>
    <w:p>
      <w:pPr>
        <w:tabs>
          <w:tab w:val="left" w:pos="4739"/>
        </w:tabs>
        <w:rPr>
          <w:rFonts w:hint="eastAsia" w:ascii="仿宋_GB2312" w:hAnsi="宋体"/>
          <w:color w:val="auto"/>
          <w:szCs w:val="32"/>
        </w:rPr>
      </w:pPr>
    </w:p>
    <w:p/>
    <w:sectPr>
      <w:headerReference r:id="rId3" w:type="default"/>
      <w:footerReference r:id="rId4"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8F52A7"/>
    <w:rsid w:val="438F52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2023-12-07T00:17:00Z</dcterms:created>
  <dc:creator>指挥中心</dc:creator>
  <cp:lastModifiedBy>指挥中心</cp:lastModifiedBy>
  <dcterms:modified xsi:type="dcterms:W3CDTF">2023-12-07T00:18:14Z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