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自治区2023年“宪法宣传周”活动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启动仪式暨“贯彻宪法精神 提升法治能力”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宪法法律知识竞赛活动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为深入学习贯彻习近平法治思想，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全面</w:t>
      </w:r>
      <w:r>
        <w:rPr>
          <w:rFonts w:ascii="仿宋_GB2312" w:eastAsia="仿宋_GB2312" w:cs="仿宋_GB2312"/>
          <w:color w:val="000000"/>
          <w:sz w:val="32"/>
          <w:szCs w:val="32"/>
        </w:rPr>
        <w:t>贯彻落实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自治区党委十三届四次、五次全会精神，认真落实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《关于建立领导干部应知应会党内法规和国家法律清单制度的意见》，进一步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增强全区国家工作人员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法治思维和法治能力，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把学习成果转化为依法决策、依法办事的自觉行动，在全社会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营造尊法学法守法用法的法治氛围。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照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2023年“12·4”国家宪法日暨“宪法宣传周”宣传活动的部署要求，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自治区党委全面依法治区委员会守法普法协调小组决定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组织开展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自治区2023年“宪法宣传周”活动启动仪式暨“贯彻宪法精神 提升法治能力”宪法法律知识竞赛活动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，活动方案如下：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</w:rPr>
        <w:t>时间地点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  <w:lang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eastAsia="zh-CN"/>
        </w:rPr>
        <w:t>4日</w:t>
      </w:r>
      <w:r>
        <w:rPr>
          <w:rFonts w:hint="eastAsia" w:ascii="仿宋_GB2312" w:eastAsia="仿宋_GB2312"/>
          <w:sz w:val="32"/>
          <w:szCs w:val="32"/>
          <w:lang w:eastAsia="zh-CN"/>
        </w:rPr>
        <w:t>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9:00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银川市工人文化宫剧场（地址：银川市金凤区后海路137号）</w:t>
      </w:r>
      <w:r>
        <w:rPr>
          <w:rFonts w:hint="default" w:ascii="仿宋_GB2312" w:eastAsia="仿宋_GB2312"/>
          <w:sz w:val="32"/>
          <w:szCs w:val="32"/>
          <w:lang w:eastAsia="zh-CN"/>
        </w:rPr>
        <w:t>举办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</w:rPr>
        <w:t>活动时间约为两小时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二</w:t>
      </w:r>
      <w:r>
        <w:rPr>
          <w:rFonts w:hint="default" w:ascii="黑体" w:hAnsi="宋体" w:eastAsia="黑体"/>
          <w:sz w:val="32"/>
          <w:szCs w:val="32"/>
          <w:lang w:eastAsia="zh-CN"/>
        </w:rPr>
        <w:t>、参加</w:t>
      </w:r>
      <w:r>
        <w:rPr>
          <w:rFonts w:hint="eastAsia" w:ascii="黑体" w:hAnsi="宋体" w:eastAsia="黑体"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区直各部门（单位）、人民团体，中央驻宁各单位，各高等院校、大型企业及银川市相关部门（单位）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，人数控制在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人以内（参加单位名单附后）。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（一）启动仪式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1.领导致辞；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2.五市连线，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现场大屏连线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五市启动活动现场，报告“宪法宣传周”启动工作情况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3.宣布活动启动。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（二）“贯彻宪法精神 提升法治能力”宪法法律知识竞赛活动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参赛队伍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综合全区国家工作人员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eastAsia="zh-CN" w:bidi="ar-SA"/>
        </w:rPr>
        <w:t>线上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法律知识考试情况，选拔各领域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法律知识考试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表现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优异的十个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部门（单位）组成参赛代表队，每支代表队由3名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eastAsia="zh-CN" w:bidi="ar-SA"/>
        </w:rPr>
        <w:t>队员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参赛。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eastAsia="zh-CN" w:bidi="ar-SA"/>
        </w:rPr>
        <w:t>参赛队伍分别为：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自治区人民检察院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司法厅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人力资源和社会保障厅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交通运输厅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卫生健康委员会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退役军人事务厅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市场监管厅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宁夏大学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国能宁煤集团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竞赛内容。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《习近平法治思想学习纲要》《宪法》《中华人民共和国民法典》《</w:t>
      </w: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中华人民共和国安全生产法》《中华人民共和国环境保护法》《中华人民共和国黄河保护法》《中华人民共和国行政复议法》，自治区党委十三届四次全会安全生产领域“1+37+8”系列文件有关内容、五次全会生态文明建设领域“1+4”系列文件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3.竞赛流程。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团体比赛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现场互动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个人挑战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颁奖仪式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  <w:lang w:val="en-US" w:eastAsia="zh-CN"/>
        </w:rPr>
        <w:t>四、相关要求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此次自治区宪法法律知识竞赛作为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“12·4”国家宪法日的重要活动，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各部门（单位）要高度重视，精心组织，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积极配合，全力做好知识竞赛各项工作。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各参赛单位相关负责同志观看竞赛活动并组织10人参加活动。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各参会单位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安排2人参加活动，银川市司法局组织社会各界代表参加活动。各单位要认真做好组织工作,确保参会人数。参会人员着便装，提前入场并遵守会场纪律和聚集性场所健康措施。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各部门（单位）请于12月1日18:00前至自治区司法厅（银川市兴庆区解放西街426号）办公楼303室领取活动入场券。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：王颖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联系电话：0951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-4110403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  <w:lang w:val="en-US" w:eastAsia="zh-CN"/>
        </w:rPr>
        <w:t xml:space="preserve">     </w:t>
      </w: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参会单位名单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纪委监委、党委办公厅、组织部、宣传部、统战部、政法委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信办、编办、区直机关工委、人大法制委员会、政协办公厅、政协社会和法制委员会、高院、检察院、政府办公厅、发展和改革委员会、工业和信息化厅、教育厅、科学技术厅、民委（宗教局）、公安厅、民政厅、司法厅、财政厅、人力资源和社会保障厅、自然资源厅、生态环境厅、住房和城乡建设厅、交通运输厅、水利厅、农业农村厅、商务厅、文化和旅游厅、卫生健康委员会退役军人事务厅、应急管理厅、审计厅、外事办、市场监管厅、国资委、总工会、团委、妇联、科协、文联、工商联、残联、社科联、红十字会、侨联、法学会、宁东能源化工基地党工委（管委会）、广播电视局、体育局、统计局、地方金融监督管理局、信访局、人防办、宁夏日报报业集团、党校（宁夏行政学院）、宁夏社会主义学院、宁夏广播电视台、供销社、公共资源交易管理局、地质局、农科院社科院、医疗保障局、机关事务管理局、银川海关、国家税务总局宁夏税务局、气象局、国家储备物资管理局宁夏局、地震局、烟草专卖局、宁夏煤矿安全监察局、通信管理局、宁夏调查总队、财政部宁夏监管局、人行银川中心支行、宁夏银保监局、宁夏证监局民航宁夏监管局、消防救援总队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BF"/>
    <w:rsid w:val="00047D05"/>
    <w:rsid w:val="00083E69"/>
    <w:rsid w:val="000A3951"/>
    <w:rsid w:val="000A5123"/>
    <w:rsid w:val="000E1DB2"/>
    <w:rsid w:val="00165B0B"/>
    <w:rsid w:val="00184339"/>
    <w:rsid w:val="002F7185"/>
    <w:rsid w:val="003A3718"/>
    <w:rsid w:val="003B2748"/>
    <w:rsid w:val="00512945"/>
    <w:rsid w:val="00534464"/>
    <w:rsid w:val="005C4610"/>
    <w:rsid w:val="005D15F1"/>
    <w:rsid w:val="005D6C1F"/>
    <w:rsid w:val="008A6CBF"/>
    <w:rsid w:val="008C3A33"/>
    <w:rsid w:val="009165EE"/>
    <w:rsid w:val="00995785"/>
    <w:rsid w:val="009D21C4"/>
    <w:rsid w:val="00A96302"/>
    <w:rsid w:val="00B50EF2"/>
    <w:rsid w:val="00BC3751"/>
    <w:rsid w:val="00C848CD"/>
    <w:rsid w:val="00DA724A"/>
    <w:rsid w:val="00EE6F3C"/>
    <w:rsid w:val="00F325AB"/>
    <w:rsid w:val="00F533F8"/>
    <w:rsid w:val="00F57C93"/>
    <w:rsid w:val="00FA25B9"/>
    <w:rsid w:val="2D416314"/>
    <w:rsid w:val="656773C4"/>
    <w:rsid w:val="6DB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2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firstLine="210"/>
    </w:pPr>
    <w:rPr>
      <w:rFonts w:eastAsia="宋体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2023-03-17T08:00:00Z</dcterms:created>
  <dc:creator>ASUS</dc:creator>
  <cp:lastModifiedBy>自治区司法厅收文员</cp:lastModifiedBy>
  <dcterms:modified xsi:type="dcterms:W3CDTF">2023-12-14T03:40:19Z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