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eastAsia" w:ascii="黑体" w:hAnsi="黑体" w:eastAsia="黑体"/>
          <w:color w:val="auto"/>
          <w:sz w:val="32"/>
          <w:szCs w:val="32"/>
          <w:lang w:eastAsia="zh-CN"/>
        </w:rPr>
      </w:pPr>
      <w:r>
        <w:rPr>
          <w:rFonts w:hint="eastAsia" w:ascii="黑体" w:hAnsi="黑体" w:eastAsia="黑体"/>
          <w:color w:val="auto"/>
          <w:sz w:val="32"/>
          <w:szCs w:val="32"/>
          <w:lang w:eastAsia="zh-CN"/>
        </w:rPr>
        <w:t>附件</w:t>
      </w:r>
      <w:r>
        <w:rPr>
          <w:rFonts w:hint="eastAsia" w:ascii="黑体" w:hAnsi="黑体" w:eastAsia="黑体"/>
          <w:color w:val="auto"/>
          <w:sz w:val="32"/>
          <w:szCs w:val="32"/>
          <w:lang w:val="en-US" w:eastAsia="zh-CN"/>
        </w:rPr>
        <w:t>2</w:t>
      </w:r>
      <w:bookmarkStart w:id="1" w:name="_GoBack"/>
      <w:bookmarkEnd w:id="1"/>
    </w:p>
    <w:p>
      <w:pPr>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自治区司法</w:t>
      </w:r>
      <w:r>
        <w:rPr>
          <w:rFonts w:hint="eastAsia" w:ascii="方正小标宋简体" w:hAnsi="方正小标宋简体" w:eastAsia="方正小标宋简体" w:cs="方正小标宋简体"/>
          <w:color w:val="auto"/>
          <w:sz w:val="44"/>
          <w:szCs w:val="44"/>
          <w:lang w:eastAsia="zh-CN"/>
        </w:rPr>
        <w:t>行政</w:t>
      </w:r>
      <w:r>
        <w:rPr>
          <w:rFonts w:hint="eastAsia" w:ascii="方正小标宋简体" w:hAnsi="方正小标宋简体" w:eastAsia="方正小标宋简体" w:cs="方正小标宋简体"/>
          <w:color w:val="auto"/>
          <w:sz w:val="44"/>
          <w:szCs w:val="44"/>
        </w:rPr>
        <w:t>系统权力清单指导目录</w:t>
      </w:r>
    </w:p>
    <w:p>
      <w:pPr>
        <w:jc w:val="center"/>
        <w:rPr>
          <w:rFonts w:ascii="楷体_GB2312" w:eastAsia="楷体_GB2312"/>
          <w:b/>
          <w:bCs/>
          <w:color w:val="auto"/>
          <w:sz w:val="32"/>
          <w:szCs w:val="32"/>
        </w:rPr>
      </w:pPr>
      <w:r>
        <w:rPr>
          <w:rFonts w:hint="eastAsia" w:ascii="楷体_GB2312" w:eastAsia="楷体_GB2312"/>
          <w:b/>
          <w:bCs/>
          <w:color w:val="auto"/>
          <w:sz w:val="32"/>
          <w:szCs w:val="32"/>
        </w:rPr>
        <w:t>一、行政许可</w:t>
      </w:r>
    </w:p>
    <w:tbl>
      <w:tblPr>
        <w:tblStyle w:val="22"/>
        <w:tblW w:w="145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962"/>
        <w:gridCol w:w="1349"/>
        <w:gridCol w:w="833"/>
        <w:gridCol w:w="706"/>
        <w:gridCol w:w="7385"/>
        <w:gridCol w:w="914"/>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 w:hRule="atLeast"/>
          <w:tblHeader/>
          <w:jc w:val="center"/>
        </w:trPr>
        <w:tc>
          <w:tcPr>
            <w:tcW w:w="791" w:type="dxa"/>
            <w:vAlign w:val="center"/>
          </w:tcPr>
          <w:p>
            <w:pPr>
              <w:jc w:val="center"/>
              <w:rPr>
                <w:rFonts w:ascii="仿宋_GB2312" w:hAnsi="仿宋_GB2312" w:eastAsia="仿宋_GB2312" w:cs="仿宋_GB2312"/>
                <w:b/>
                <w:bCs/>
                <w:color w:val="auto"/>
                <w:szCs w:val="21"/>
              </w:rPr>
            </w:pPr>
            <w:r>
              <w:rPr>
                <w:rFonts w:hint="eastAsia" w:ascii="仿宋_GB2312" w:hAnsi="仿宋_GB2312" w:eastAsia="仿宋_GB2312" w:cs="仿宋_GB2312"/>
                <w:b/>
                <w:bCs/>
                <w:color w:val="auto"/>
                <w:szCs w:val="21"/>
              </w:rPr>
              <w:t>序号</w:t>
            </w:r>
          </w:p>
        </w:tc>
        <w:tc>
          <w:tcPr>
            <w:tcW w:w="962" w:type="dxa"/>
            <w:vAlign w:val="center"/>
          </w:tcPr>
          <w:p>
            <w:pPr>
              <w:jc w:val="center"/>
              <w:rPr>
                <w:rFonts w:ascii="仿宋_GB2312" w:hAnsi="仿宋_GB2312" w:eastAsia="仿宋_GB2312" w:cs="仿宋_GB2312"/>
                <w:b/>
                <w:bCs/>
                <w:color w:val="auto"/>
                <w:szCs w:val="21"/>
              </w:rPr>
            </w:pPr>
            <w:r>
              <w:rPr>
                <w:rFonts w:hint="eastAsia" w:ascii="仿宋_GB2312" w:hAnsi="仿宋_GB2312" w:eastAsia="仿宋_GB2312" w:cs="仿宋_GB2312"/>
                <w:b/>
                <w:bCs/>
                <w:color w:val="auto"/>
                <w:szCs w:val="21"/>
              </w:rPr>
              <w:t>职权</w:t>
            </w:r>
          </w:p>
          <w:p>
            <w:pPr>
              <w:jc w:val="center"/>
              <w:rPr>
                <w:rFonts w:ascii="仿宋_GB2312" w:hAnsi="仿宋_GB2312" w:eastAsia="仿宋_GB2312" w:cs="仿宋_GB2312"/>
                <w:b/>
                <w:bCs/>
                <w:color w:val="auto"/>
                <w:szCs w:val="21"/>
              </w:rPr>
            </w:pPr>
            <w:r>
              <w:rPr>
                <w:rFonts w:hint="eastAsia" w:ascii="仿宋_GB2312" w:hAnsi="仿宋_GB2312" w:eastAsia="仿宋_GB2312" w:cs="仿宋_GB2312"/>
                <w:b/>
                <w:bCs/>
                <w:color w:val="auto"/>
                <w:szCs w:val="21"/>
              </w:rPr>
              <w:t>名称</w:t>
            </w:r>
          </w:p>
        </w:tc>
        <w:tc>
          <w:tcPr>
            <w:tcW w:w="1349" w:type="dxa"/>
            <w:vAlign w:val="center"/>
          </w:tcPr>
          <w:p>
            <w:pPr>
              <w:jc w:val="center"/>
              <w:rPr>
                <w:rFonts w:ascii="仿宋_GB2312" w:hAnsi="仿宋_GB2312" w:eastAsia="仿宋_GB2312" w:cs="仿宋_GB2312"/>
                <w:b/>
                <w:bCs/>
                <w:color w:val="auto"/>
                <w:szCs w:val="21"/>
              </w:rPr>
            </w:pPr>
            <w:r>
              <w:rPr>
                <w:rFonts w:hint="eastAsia" w:ascii="仿宋_GB2312" w:hAnsi="仿宋_GB2312" w:eastAsia="仿宋_GB2312" w:cs="仿宋_GB2312"/>
                <w:b/>
                <w:bCs/>
                <w:color w:val="auto"/>
                <w:szCs w:val="21"/>
              </w:rPr>
              <w:t>子项</w:t>
            </w:r>
          </w:p>
          <w:p>
            <w:pPr>
              <w:jc w:val="center"/>
              <w:rPr>
                <w:rFonts w:ascii="仿宋_GB2312" w:hAnsi="仿宋_GB2312" w:eastAsia="仿宋_GB2312" w:cs="仿宋_GB2312"/>
                <w:b/>
                <w:bCs/>
                <w:color w:val="auto"/>
                <w:szCs w:val="21"/>
              </w:rPr>
            </w:pPr>
            <w:r>
              <w:rPr>
                <w:rFonts w:hint="eastAsia" w:ascii="仿宋_GB2312" w:hAnsi="仿宋_GB2312" w:eastAsia="仿宋_GB2312" w:cs="仿宋_GB2312"/>
                <w:b/>
                <w:bCs/>
                <w:color w:val="auto"/>
                <w:szCs w:val="21"/>
              </w:rPr>
              <w:t>名称</w:t>
            </w:r>
          </w:p>
        </w:tc>
        <w:tc>
          <w:tcPr>
            <w:tcW w:w="833" w:type="dxa"/>
            <w:vAlign w:val="center"/>
          </w:tcPr>
          <w:p>
            <w:pPr>
              <w:jc w:val="center"/>
              <w:rPr>
                <w:rFonts w:ascii="仿宋_GB2312" w:hAnsi="仿宋_GB2312" w:eastAsia="仿宋_GB2312" w:cs="仿宋_GB2312"/>
                <w:b/>
                <w:bCs/>
                <w:color w:val="auto"/>
                <w:szCs w:val="21"/>
              </w:rPr>
            </w:pPr>
            <w:r>
              <w:rPr>
                <w:rFonts w:hint="eastAsia" w:ascii="仿宋_GB2312" w:hAnsi="仿宋_GB2312" w:eastAsia="仿宋_GB2312" w:cs="仿宋_GB2312"/>
                <w:b/>
                <w:bCs/>
                <w:color w:val="auto"/>
                <w:szCs w:val="21"/>
              </w:rPr>
              <w:t>基本编码</w:t>
            </w:r>
          </w:p>
        </w:tc>
        <w:tc>
          <w:tcPr>
            <w:tcW w:w="706" w:type="dxa"/>
            <w:vAlign w:val="center"/>
          </w:tcPr>
          <w:p>
            <w:pPr>
              <w:jc w:val="center"/>
              <w:rPr>
                <w:rFonts w:ascii="仿宋_GB2312" w:hAnsi="仿宋_GB2312" w:eastAsia="仿宋_GB2312" w:cs="仿宋_GB2312"/>
                <w:b/>
                <w:bCs/>
                <w:color w:val="auto"/>
                <w:szCs w:val="21"/>
              </w:rPr>
            </w:pPr>
            <w:r>
              <w:rPr>
                <w:rFonts w:hint="eastAsia" w:ascii="仿宋_GB2312" w:hAnsi="仿宋_GB2312" w:eastAsia="仿宋_GB2312" w:cs="仿宋_GB2312"/>
                <w:b/>
                <w:bCs/>
                <w:color w:val="auto"/>
                <w:szCs w:val="21"/>
              </w:rPr>
              <w:t>实施</w:t>
            </w:r>
          </w:p>
          <w:p>
            <w:pPr>
              <w:jc w:val="center"/>
              <w:rPr>
                <w:rFonts w:ascii="仿宋_GB2312" w:hAnsi="仿宋_GB2312" w:eastAsia="仿宋_GB2312" w:cs="仿宋_GB2312"/>
                <w:b/>
                <w:bCs/>
                <w:color w:val="auto"/>
                <w:szCs w:val="21"/>
              </w:rPr>
            </w:pPr>
            <w:r>
              <w:rPr>
                <w:rFonts w:hint="eastAsia" w:ascii="仿宋_GB2312" w:hAnsi="仿宋_GB2312" w:eastAsia="仿宋_GB2312" w:cs="仿宋_GB2312"/>
                <w:b/>
                <w:bCs/>
                <w:color w:val="auto"/>
                <w:szCs w:val="21"/>
              </w:rPr>
              <w:t>部门</w:t>
            </w:r>
          </w:p>
        </w:tc>
        <w:tc>
          <w:tcPr>
            <w:tcW w:w="7385" w:type="dxa"/>
            <w:vAlign w:val="center"/>
          </w:tcPr>
          <w:p>
            <w:pPr>
              <w:spacing w:line="270" w:lineRule="exact"/>
              <w:jc w:val="center"/>
              <w:rPr>
                <w:rFonts w:ascii="仿宋_GB2312" w:hAnsi="仿宋_GB2312" w:eastAsia="仿宋_GB2312" w:cs="仿宋_GB2312"/>
                <w:b/>
                <w:bCs/>
                <w:color w:val="auto"/>
                <w:szCs w:val="21"/>
              </w:rPr>
            </w:pPr>
            <w:r>
              <w:rPr>
                <w:rFonts w:hint="eastAsia" w:ascii="仿宋_GB2312" w:hAnsi="仿宋_GB2312" w:eastAsia="仿宋_GB2312" w:cs="仿宋_GB2312"/>
                <w:b/>
                <w:bCs/>
                <w:color w:val="auto"/>
                <w:szCs w:val="21"/>
              </w:rPr>
              <w:t>职权依据</w:t>
            </w:r>
          </w:p>
        </w:tc>
        <w:tc>
          <w:tcPr>
            <w:tcW w:w="914" w:type="dxa"/>
            <w:vAlign w:val="center"/>
          </w:tcPr>
          <w:p>
            <w:pPr>
              <w:jc w:val="center"/>
              <w:rPr>
                <w:rFonts w:ascii="仿宋_GB2312" w:hAnsi="仿宋_GB2312" w:eastAsia="仿宋_GB2312" w:cs="仿宋_GB2312"/>
                <w:b/>
                <w:bCs/>
                <w:color w:val="auto"/>
                <w:szCs w:val="21"/>
              </w:rPr>
            </w:pPr>
            <w:r>
              <w:rPr>
                <w:rFonts w:hint="eastAsia" w:ascii="仿宋_GB2312" w:hAnsi="仿宋_GB2312" w:eastAsia="仿宋_GB2312" w:cs="仿宋_GB2312"/>
                <w:b/>
                <w:bCs/>
                <w:color w:val="auto"/>
                <w:szCs w:val="21"/>
              </w:rPr>
              <w:t>行使</w:t>
            </w:r>
          </w:p>
          <w:p>
            <w:pPr>
              <w:jc w:val="center"/>
              <w:rPr>
                <w:rFonts w:ascii="仿宋_GB2312" w:hAnsi="仿宋_GB2312" w:eastAsia="仿宋_GB2312" w:cs="仿宋_GB2312"/>
                <w:b/>
                <w:bCs/>
                <w:color w:val="auto"/>
                <w:szCs w:val="21"/>
              </w:rPr>
            </w:pPr>
            <w:r>
              <w:rPr>
                <w:rFonts w:hint="eastAsia" w:ascii="仿宋_GB2312" w:hAnsi="仿宋_GB2312" w:eastAsia="仿宋_GB2312" w:cs="仿宋_GB2312"/>
                <w:b/>
                <w:bCs/>
                <w:color w:val="auto"/>
                <w:szCs w:val="21"/>
              </w:rPr>
              <w:t>层级</w:t>
            </w:r>
          </w:p>
        </w:tc>
        <w:tc>
          <w:tcPr>
            <w:tcW w:w="1575" w:type="dxa"/>
            <w:vAlign w:val="center"/>
          </w:tcPr>
          <w:p>
            <w:pPr>
              <w:jc w:val="center"/>
              <w:rPr>
                <w:rFonts w:ascii="仿宋_GB2312" w:hAnsi="仿宋_GB2312" w:eastAsia="仿宋_GB2312" w:cs="仿宋_GB2312"/>
                <w:b/>
                <w:bCs/>
                <w:color w:val="auto"/>
                <w:szCs w:val="21"/>
              </w:rPr>
            </w:pPr>
            <w:r>
              <w:rPr>
                <w:rFonts w:hint="eastAsia" w:ascii="仿宋_GB2312" w:hAnsi="仿宋_GB2312" w:eastAsia="仿宋_GB2312" w:cs="仿宋_GB2312"/>
                <w:b/>
                <w:bCs/>
                <w:color w:val="auto"/>
                <w:szCs w:val="21"/>
              </w:rPr>
              <w:t>行使内容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6" w:hRule="atLeast"/>
          <w:jc w:val="center"/>
        </w:trPr>
        <w:tc>
          <w:tcPr>
            <w:tcW w:w="791" w:type="dxa"/>
            <w:vMerge w:val="restart"/>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1</w:t>
            </w:r>
          </w:p>
        </w:tc>
        <w:tc>
          <w:tcPr>
            <w:tcW w:w="962" w:type="dxa"/>
            <w:vMerge w:val="restart"/>
            <w:vAlign w:val="center"/>
          </w:tcPr>
          <w:p>
            <w:pP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涉港澳台律师及律师事务所事项核准</w:t>
            </w:r>
          </w:p>
        </w:tc>
        <w:tc>
          <w:tcPr>
            <w:tcW w:w="1349" w:type="dxa"/>
            <w:vAlign w:val="center"/>
          </w:tcPr>
          <w:p>
            <w:pPr>
              <w:adjustRightInd w:val="0"/>
              <w:snapToGrid w:val="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香港、澳门永久性居民中的中国居民申请在内地从事律师职业核准</w:t>
            </w:r>
          </w:p>
        </w:tc>
        <w:tc>
          <w:tcPr>
            <w:tcW w:w="833" w:type="dxa"/>
            <w:vAlign w:val="center"/>
          </w:tcPr>
          <w:p>
            <w:pPr>
              <w:adjustRightInd w:val="0"/>
              <w:snapToGrid w:val="0"/>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0109001001</w:t>
            </w:r>
          </w:p>
        </w:tc>
        <w:tc>
          <w:tcPr>
            <w:tcW w:w="706" w:type="dxa"/>
            <w:vAlign w:val="center"/>
          </w:tcPr>
          <w:p>
            <w:pPr>
              <w:adjustRightInd w:val="0"/>
              <w:snapToGrid w:val="0"/>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385" w:type="dxa"/>
            <w:vAlign w:val="center"/>
          </w:tcPr>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【国务院决定】《国务院对确需保留的行政审批项目设定行政许可的决定》（2016年国务院令第671号修改）</w:t>
            </w:r>
          </w:p>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第70项 香港、澳门永久性居民中的中国居民申请在内地从事律师职业核准由省级人民政府司法行政主管部门实施。</w:t>
            </w:r>
          </w:p>
        </w:tc>
        <w:tc>
          <w:tcPr>
            <w:tcW w:w="914"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自治区</w:t>
            </w:r>
          </w:p>
        </w:tc>
        <w:tc>
          <w:tcPr>
            <w:tcW w:w="1575" w:type="dxa"/>
            <w:vAlign w:val="center"/>
          </w:tcPr>
          <w:p>
            <w:pP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0" w:hRule="atLeast"/>
          <w:jc w:val="center"/>
        </w:trPr>
        <w:tc>
          <w:tcPr>
            <w:tcW w:w="791" w:type="dxa"/>
            <w:vMerge w:val="continue"/>
          </w:tcPr>
          <w:p>
            <w:pPr>
              <w:jc w:val="center"/>
              <w:rPr>
                <w:rFonts w:ascii="仿宋_GB2312" w:hAnsi="仿宋_GB2312" w:eastAsia="仿宋_GB2312" w:cs="仿宋_GB2312"/>
                <w:color w:val="auto"/>
                <w:szCs w:val="21"/>
              </w:rPr>
            </w:pPr>
          </w:p>
        </w:tc>
        <w:tc>
          <w:tcPr>
            <w:tcW w:w="962" w:type="dxa"/>
            <w:vMerge w:val="continue"/>
            <w:vAlign w:val="center"/>
          </w:tcPr>
          <w:p>
            <w:pPr>
              <w:rPr>
                <w:rFonts w:ascii="仿宋_GB2312" w:hAnsi="仿宋_GB2312" w:eastAsia="仿宋_GB2312" w:cs="仿宋_GB2312"/>
                <w:color w:val="auto"/>
                <w:szCs w:val="21"/>
              </w:rPr>
            </w:pPr>
          </w:p>
        </w:tc>
        <w:tc>
          <w:tcPr>
            <w:tcW w:w="1349" w:type="dxa"/>
            <w:vAlign w:val="center"/>
          </w:tcPr>
          <w:p>
            <w:pPr>
              <w:adjustRightInd w:val="0"/>
              <w:snapToGrid w:val="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香港、澳门律师事务所与内地律师事务所联营核准</w:t>
            </w:r>
          </w:p>
        </w:tc>
        <w:tc>
          <w:tcPr>
            <w:tcW w:w="833" w:type="dxa"/>
            <w:vAlign w:val="center"/>
          </w:tcPr>
          <w:p>
            <w:pPr>
              <w:adjustRightInd w:val="0"/>
              <w:snapToGrid w:val="0"/>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0109001002</w:t>
            </w:r>
          </w:p>
        </w:tc>
        <w:tc>
          <w:tcPr>
            <w:tcW w:w="706" w:type="dxa"/>
            <w:vAlign w:val="center"/>
          </w:tcPr>
          <w:p>
            <w:pPr>
              <w:adjustRightInd w:val="0"/>
              <w:snapToGrid w:val="0"/>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385" w:type="dxa"/>
            <w:vAlign w:val="center"/>
          </w:tcPr>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【国务院决定】《国务院对确需保留的行政审批项目设定行政许可的决定》（2016年国务院令第671号修改）</w:t>
            </w:r>
          </w:p>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第72项 香港、澳门律师事务所与内地律师事务所联营核准由省级人民政府司法行政主管部门实施。</w:t>
            </w:r>
          </w:p>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【部门规章】《香港特别行政区和澳门特别行政区律师事务所与内地律师事务所联营管理办法》（2012年司法部令第126号修正）</w:t>
            </w:r>
          </w:p>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第八条第一款 省级司法行政机关应当自收到申请人联营申请材料之日起20日内作出准予或者不准联营的决定。20日内不能作出决定的，经本机关负责人批准，可以延长10日，并应当将延长期限的理由告知申请人。</w:t>
            </w:r>
          </w:p>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第二款 对于符合本办法规定条件的，应当准予联营，颁发联营许可证；对于不符合本办法规定条件的，不准联营，并书面通知申请人。</w:t>
            </w:r>
          </w:p>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第三款 对准予联营的，省级司法行政机关应当自颁发联营许可证之日起30日内，将准予联营的批件及有关材料报司法部备案。</w:t>
            </w:r>
          </w:p>
        </w:tc>
        <w:tc>
          <w:tcPr>
            <w:tcW w:w="914"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自治区</w:t>
            </w:r>
          </w:p>
        </w:tc>
        <w:tc>
          <w:tcPr>
            <w:tcW w:w="1575" w:type="dxa"/>
            <w:vAlign w:val="center"/>
          </w:tcPr>
          <w:p>
            <w:pP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91" w:type="dxa"/>
            <w:vMerge w:val="continue"/>
          </w:tcPr>
          <w:p>
            <w:pPr>
              <w:jc w:val="center"/>
              <w:rPr>
                <w:rFonts w:ascii="仿宋_GB2312" w:hAnsi="仿宋_GB2312" w:eastAsia="仿宋_GB2312" w:cs="仿宋_GB2312"/>
                <w:color w:val="auto"/>
                <w:szCs w:val="21"/>
              </w:rPr>
            </w:pPr>
          </w:p>
        </w:tc>
        <w:tc>
          <w:tcPr>
            <w:tcW w:w="962" w:type="dxa"/>
            <w:vMerge w:val="continue"/>
            <w:vAlign w:val="center"/>
          </w:tcPr>
          <w:p>
            <w:pPr>
              <w:rPr>
                <w:rFonts w:ascii="仿宋_GB2312" w:hAnsi="仿宋_GB2312" w:eastAsia="仿宋_GB2312" w:cs="仿宋_GB2312"/>
                <w:color w:val="auto"/>
                <w:szCs w:val="21"/>
              </w:rPr>
            </w:pPr>
          </w:p>
        </w:tc>
        <w:tc>
          <w:tcPr>
            <w:tcW w:w="1349" w:type="dxa"/>
          </w:tcPr>
          <w:p>
            <w:pPr>
              <w:adjustRightInd w:val="0"/>
              <w:snapToGrid w:val="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港澳台律师事务所驻内地或大陆代表机构设立许可</w:t>
            </w:r>
          </w:p>
        </w:tc>
        <w:tc>
          <w:tcPr>
            <w:tcW w:w="833" w:type="dxa"/>
            <w:vAlign w:val="center"/>
          </w:tcPr>
          <w:p>
            <w:pPr>
              <w:adjustRightInd w:val="0"/>
              <w:snapToGrid w:val="0"/>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0109001003</w:t>
            </w:r>
          </w:p>
        </w:tc>
        <w:tc>
          <w:tcPr>
            <w:tcW w:w="706" w:type="dxa"/>
            <w:vAlign w:val="center"/>
          </w:tcPr>
          <w:p>
            <w:pPr>
              <w:adjustRightInd w:val="0"/>
              <w:snapToGrid w:val="0"/>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385" w:type="dxa"/>
          </w:tcPr>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【国务院决定】《关于取消和调整一批行政审批项目等事项的决定》（国发〔2014〕27号）</w:t>
            </w:r>
          </w:p>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 xml:space="preserve">附件1 国务院决定取消和下放管理层级的行政审批项目目录 </w:t>
            </w:r>
          </w:p>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第6项 港澳台律师事务所驻内地或大陆代表机构设立许可，下放至省级人民政府司法行政主管部门。</w:t>
            </w:r>
          </w:p>
        </w:tc>
        <w:tc>
          <w:tcPr>
            <w:tcW w:w="914"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自治区</w:t>
            </w:r>
          </w:p>
        </w:tc>
        <w:tc>
          <w:tcPr>
            <w:tcW w:w="1575" w:type="dxa"/>
          </w:tcPr>
          <w:p>
            <w:pPr>
              <w:jc w:val="left"/>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8" w:hRule="atLeast"/>
          <w:jc w:val="center"/>
        </w:trPr>
        <w:tc>
          <w:tcPr>
            <w:tcW w:w="791" w:type="dxa"/>
            <w:vMerge w:val="continue"/>
          </w:tcPr>
          <w:p>
            <w:pPr>
              <w:jc w:val="center"/>
              <w:rPr>
                <w:rFonts w:ascii="仿宋_GB2312" w:hAnsi="仿宋_GB2312" w:eastAsia="仿宋_GB2312" w:cs="仿宋_GB2312"/>
                <w:color w:val="auto"/>
                <w:szCs w:val="21"/>
              </w:rPr>
            </w:pPr>
          </w:p>
        </w:tc>
        <w:tc>
          <w:tcPr>
            <w:tcW w:w="962" w:type="dxa"/>
            <w:vMerge w:val="continue"/>
            <w:vAlign w:val="center"/>
          </w:tcPr>
          <w:p>
            <w:pPr>
              <w:rPr>
                <w:rFonts w:ascii="仿宋_GB2312" w:hAnsi="仿宋_GB2312" w:eastAsia="仿宋_GB2312" w:cs="仿宋_GB2312"/>
                <w:color w:val="auto"/>
                <w:szCs w:val="21"/>
              </w:rPr>
            </w:pPr>
          </w:p>
        </w:tc>
        <w:tc>
          <w:tcPr>
            <w:tcW w:w="1349" w:type="dxa"/>
            <w:vAlign w:val="center"/>
          </w:tcPr>
          <w:p>
            <w:pPr>
              <w:adjustRightInd w:val="0"/>
              <w:snapToGrid w:val="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港澳台律师事务所驻内地或大陆代表机构派驻代表执业、变更许可</w:t>
            </w:r>
          </w:p>
        </w:tc>
        <w:tc>
          <w:tcPr>
            <w:tcW w:w="833" w:type="dxa"/>
            <w:vAlign w:val="center"/>
          </w:tcPr>
          <w:p>
            <w:pPr>
              <w:adjustRightInd w:val="0"/>
              <w:snapToGrid w:val="0"/>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0109001004</w:t>
            </w:r>
          </w:p>
        </w:tc>
        <w:tc>
          <w:tcPr>
            <w:tcW w:w="706" w:type="dxa"/>
            <w:vAlign w:val="center"/>
          </w:tcPr>
          <w:p>
            <w:pPr>
              <w:adjustRightInd w:val="0"/>
              <w:snapToGrid w:val="0"/>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385" w:type="dxa"/>
          </w:tcPr>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【国务院决定】《关于取消和调整一批行政审批项目等事项的决定》（国发〔2014〕27号）</w:t>
            </w:r>
          </w:p>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附件1国务院决定取消和下放管理层级的行政审批项目目录</w:t>
            </w:r>
          </w:p>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第7项 港澳台律师事务所驻内地或大陆代表机构派驻代表执业许可，下放至省级人民政府司法行政主管部门实施。</w:t>
            </w:r>
          </w:p>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【部门规章】《香港、澳门特别行政区律师事务所驻内地代表机构管理办法》（2015年司法部令第131号修正）</w:t>
            </w:r>
          </w:p>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九条省、自治区、直辖市司法厅（局）应当自收到申请文件材料之日起6个月内审查完毕并作出决定，对许可设立的代表处发给执业执照，并对其代表发给执业证书，同时办理注册手续；对不予许可的，应当书面告知其理由。</w:t>
            </w:r>
          </w:p>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第十条 代表处及其代表每年应当注册一次。</w:t>
            </w:r>
          </w:p>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省、自治区、直辖市司法厅（局）应当自接到注册申请之日起2日内办理注册手续。</w:t>
            </w:r>
          </w:p>
        </w:tc>
        <w:tc>
          <w:tcPr>
            <w:tcW w:w="914"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自治区</w:t>
            </w:r>
          </w:p>
        </w:tc>
        <w:tc>
          <w:tcPr>
            <w:tcW w:w="1575" w:type="dxa"/>
          </w:tcPr>
          <w:p>
            <w:pPr>
              <w:jc w:val="left"/>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9" w:hRule="atLeast"/>
          <w:jc w:val="center"/>
        </w:trPr>
        <w:tc>
          <w:tcPr>
            <w:tcW w:w="791" w:type="dxa"/>
            <w:vMerge w:val="continue"/>
          </w:tcPr>
          <w:p>
            <w:pPr>
              <w:jc w:val="center"/>
              <w:rPr>
                <w:rFonts w:ascii="仿宋_GB2312" w:hAnsi="仿宋_GB2312" w:eastAsia="仿宋_GB2312" w:cs="仿宋_GB2312"/>
                <w:color w:val="auto"/>
                <w:szCs w:val="21"/>
              </w:rPr>
            </w:pPr>
          </w:p>
        </w:tc>
        <w:tc>
          <w:tcPr>
            <w:tcW w:w="962" w:type="dxa"/>
            <w:vMerge w:val="continue"/>
            <w:vAlign w:val="center"/>
          </w:tcPr>
          <w:p>
            <w:pPr>
              <w:rPr>
                <w:rFonts w:ascii="仿宋_GB2312" w:hAnsi="仿宋_GB2312" w:eastAsia="仿宋_GB2312" w:cs="仿宋_GB2312"/>
                <w:color w:val="auto"/>
                <w:szCs w:val="21"/>
              </w:rPr>
            </w:pPr>
          </w:p>
        </w:tc>
        <w:tc>
          <w:tcPr>
            <w:tcW w:w="1349" w:type="dxa"/>
            <w:vMerge w:val="restart"/>
            <w:vAlign w:val="center"/>
          </w:tcPr>
          <w:p>
            <w:pPr>
              <w:adjustRightInd w:val="0"/>
              <w:snapToGrid w:val="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台湾居民在大陆从事律师执业核准</w:t>
            </w:r>
          </w:p>
        </w:tc>
        <w:tc>
          <w:tcPr>
            <w:tcW w:w="833" w:type="dxa"/>
            <w:vMerge w:val="restart"/>
            <w:vAlign w:val="center"/>
          </w:tcPr>
          <w:p>
            <w:pPr>
              <w:adjustRightInd w:val="0"/>
              <w:snapToGrid w:val="0"/>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0109001005</w:t>
            </w:r>
          </w:p>
        </w:tc>
        <w:tc>
          <w:tcPr>
            <w:tcW w:w="706" w:type="dxa"/>
            <w:vMerge w:val="restart"/>
            <w:vAlign w:val="center"/>
          </w:tcPr>
          <w:p>
            <w:pPr>
              <w:adjustRightInd w:val="0"/>
              <w:snapToGrid w:val="0"/>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385" w:type="dxa"/>
            <w:vMerge w:val="restart"/>
          </w:tcPr>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【法律】《中华人民共和国律师法》（2017年修正）</w:t>
            </w:r>
          </w:p>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第六条 申请律师执业，应当向设区的市级或者直辖市的区人民政府司法行政部门提出申请，并提交下列材料：（一）国家统一法律职业资格证书;（二）律师协会出具的申请人实习考核合格的材料;（三）申请人的身份证明;（四）律师事务所出具的同意接收申请人的证明。</w:t>
            </w:r>
          </w:p>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申请兼职律师执业的，还应当提交所在单位同意申请人兼职从事律师职业的证明。</w:t>
            </w:r>
          </w:p>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受理申请的部门应当自受理之日起二十日内予以审查，并将审查意见和全部申请材料报送省、自治区、直辖市人民政府司法行政部门。省、自治区、直辖市人民政府司法行政部门应当自收到报送材料之日起十日内予以审核，作出是否准予执业的决定。准予执业的，向申请人颁发律师执业证书；不准予执业的，向申请人书面说明理由。</w:t>
            </w:r>
          </w:p>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【部门规章】《取得国家法律职业资格的台湾居民在大陆从事律师职业管理办法》（2017年司法部令第136号修正）</w:t>
            </w:r>
          </w:p>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第六条 台湾居民申请律师执业，由设区的市级或者直辖市的区(县)司法行政机关受理申请，并进行初审，报省、自治区、直辖市司法行政机关审核，作出是否准予执业的决定。具体许可程序，根据《律师法》和《律师执业管理办法》的规定办理。</w:t>
            </w:r>
          </w:p>
        </w:tc>
        <w:tc>
          <w:tcPr>
            <w:tcW w:w="914"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自治区</w:t>
            </w:r>
          </w:p>
        </w:tc>
        <w:tc>
          <w:tcPr>
            <w:tcW w:w="1575"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审核、批准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4" w:hRule="atLeast"/>
          <w:jc w:val="center"/>
        </w:trPr>
        <w:tc>
          <w:tcPr>
            <w:tcW w:w="791" w:type="dxa"/>
            <w:vMerge w:val="continue"/>
          </w:tcPr>
          <w:p>
            <w:pPr>
              <w:jc w:val="left"/>
              <w:rPr>
                <w:rFonts w:ascii="仿宋_GB2312" w:hAnsi="仿宋_GB2312" w:eastAsia="仿宋_GB2312" w:cs="仿宋_GB2312"/>
                <w:color w:val="auto"/>
                <w:szCs w:val="21"/>
              </w:rPr>
            </w:pPr>
          </w:p>
        </w:tc>
        <w:tc>
          <w:tcPr>
            <w:tcW w:w="962" w:type="dxa"/>
            <w:vMerge w:val="continue"/>
            <w:vAlign w:val="center"/>
          </w:tcPr>
          <w:p>
            <w:pPr>
              <w:rPr>
                <w:rFonts w:ascii="仿宋_GB2312" w:hAnsi="仿宋_GB2312" w:eastAsia="仿宋_GB2312" w:cs="仿宋_GB2312"/>
                <w:color w:val="auto"/>
                <w:szCs w:val="21"/>
              </w:rPr>
            </w:pPr>
          </w:p>
        </w:tc>
        <w:tc>
          <w:tcPr>
            <w:tcW w:w="1349" w:type="dxa"/>
            <w:vMerge w:val="continue"/>
          </w:tcPr>
          <w:p>
            <w:pPr>
              <w:rPr>
                <w:rFonts w:ascii="仿宋_GB2312" w:hAnsi="仿宋_GB2312" w:eastAsia="仿宋_GB2312" w:cs="仿宋_GB2312"/>
                <w:color w:val="auto"/>
                <w:szCs w:val="21"/>
              </w:rPr>
            </w:pPr>
          </w:p>
        </w:tc>
        <w:tc>
          <w:tcPr>
            <w:tcW w:w="833" w:type="dxa"/>
            <w:vMerge w:val="continue"/>
            <w:vAlign w:val="center"/>
          </w:tcPr>
          <w:p>
            <w:pPr>
              <w:jc w:val="center"/>
              <w:rPr>
                <w:rFonts w:ascii="仿宋_GB2312" w:hAnsi="仿宋_GB2312" w:eastAsia="仿宋_GB2312" w:cs="仿宋_GB2312"/>
                <w:color w:val="auto"/>
                <w:szCs w:val="21"/>
              </w:rPr>
            </w:pPr>
          </w:p>
        </w:tc>
        <w:tc>
          <w:tcPr>
            <w:tcW w:w="706" w:type="dxa"/>
            <w:vMerge w:val="continue"/>
            <w:vAlign w:val="center"/>
          </w:tcPr>
          <w:p>
            <w:pPr>
              <w:jc w:val="center"/>
              <w:rPr>
                <w:rFonts w:ascii="仿宋_GB2312" w:hAnsi="仿宋_GB2312" w:eastAsia="仿宋_GB2312" w:cs="仿宋_GB2312"/>
                <w:color w:val="auto"/>
                <w:szCs w:val="21"/>
              </w:rPr>
            </w:pPr>
          </w:p>
        </w:tc>
        <w:tc>
          <w:tcPr>
            <w:tcW w:w="7385" w:type="dxa"/>
            <w:vMerge w:val="continue"/>
          </w:tcPr>
          <w:p>
            <w:pPr>
              <w:spacing w:line="270" w:lineRule="exact"/>
              <w:jc w:val="left"/>
              <w:rPr>
                <w:rFonts w:ascii="仿宋_GB2312" w:hAnsi="仿宋_GB2312" w:eastAsia="仿宋_GB2312" w:cs="仿宋_GB2312"/>
                <w:color w:val="auto"/>
                <w:szCs w:val="21"/>
              </w:rPr>
            </w:pPr>
          </w:p>
        </w:tc>
        <w:tc>
          <w:tcPr>
            <w:tcW w:w="914" w:type="dxa"/>
            <w:vAlign w:val="center"/>
          </w:tcPr>
          <w:p>
            <w:pPr>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设区</w:t>
            </w:r>
          </w:p>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的市</w:t>
            </w:r>
          </w:p>
        </w:tc>
        <w:tc>
          <w:tcPr>
            <w:tcW w:w="1575"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受理、初审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5" w:hRule="atLeast"/>
          <w:jc w:val="center"/>
        </w:trPr>
        <w:tc>
          <w:tcPr>
            <w:tcW w:w="791" w:type="dxa"/>
            <w:vMerge w:val="restart"/>
            <w:vAlign w:val="center"/>
          </w:tcPr>
          <w:p>
            <w:pPr>
              <w:ind w:left="113" w:right="113"/>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2</w:t>
            </w:r>
          </w:p>
        </w:tc>
        <w:tc>
          <w:tcPr>
            <w:tcW w:w="962" w:type="dxa"/>
            <w:vMerge w:val="restart"/>
            <w:vAlign w:val="center"/>
          </w:tcPr>
          <w:p>
            <w:pPr>
              <w:adjustRightInd w:val="0"/>
              <w:snapToGrid w:val="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律师事务所（分所）设立、变更、注销许可</w:t>
            </w:r>
          </w:p>
        </w:tc>
        <w:tc>
          <w:tcPr>
            <w:tcW w:w="1349" w:type="dxa"/>
            <w:vMerge w:val="restart"/>
            <w:vAlign w:val="center"/>
          </w:tcPr>
          <w:p>
            <w:pPr>
              <w:adjustRightInd w:val="0"/>
              <w:snapToGrid w:val="0"/>
              <w:rPr>
                <w:rFonts w:ascii="仿宋_GB2312" w:hAnsi="仿宋_GB2312" w:eastAsia="仿宋_GB2312" w:cs="仿宋_GB2312"/>
                <w:color w:val="auto"/>
                <w:szCs w:val="21"/>
              </w:rPr>
            </w:pPr>
          </w:p>
        </w:tc>
        <w:tc>
          <w:tcPr>
            <w:tcW w:w="833" w:type="dxa"/>
            <w:vMerge w:val="restart"/>
            <w:vAlign w:val="center"/>
          </w:tcPr>
          <w:p>
            <w:pPr>
              <w:adjustRightInd w:val="0"/>
              <w:snapToGrid w:val="0"/>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010900</w:t>
            </w:r>
            <w:r>
              <w:rPr>
                <w:rFonts w:ascii="仿宋_GB2312" w:hAnsi="仿宋_GB2312" w:eastAsia="仿宋_GB2312" w:cs="仿宋_GB2312"/>
                <w:color w:val="auto"/>
                <w:szCs w:val="21"/>
              </w:rPr>
              <w:t>2</w:t>
            </w:r>
            <w:r>
              <w:rPr>
                <w:rFonts w:hint="eastAsia" w:ascii="仿宋_GB2312" w:hAnsi="仿宋_GB2312" w:eastAsia="仿宋_GB2312" w:cs="仿宋_GB2312"/>
                <w:color w:val="auto"/>
                <w:szCs w:val="21"/>
              </w:rPr>
              <w:t>000</w:t>
            </w:r>
          </w:p>
        </w:tc>
        <w:tc>
          <w:tcPr>
            <w:tcW w:w="706" w:type="dxa"/>
            <w:vMerge w:val="restart"/>
            <w:vAlign w:val="center"/>
          </w:tcPr>
          <w:p>
            <w:pPr>
              <w:adjustRightInd w:val="0"/>
              <w:snapToGrid w:val="0"/>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385" w:type="dxa"/>
            <w:vMerge w:val="restart"/>
          </w:tcPr>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【法律】《中华人民共和国律师法》（2017年修正）</w:t>
            </w:r>
          </w:p>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 xml:space="preserve">第十八条 设立律师事务所，应当向设区的市级或者直辖市的区人民政府司法行政部门提出申请，受理申请的部门应当自受理之日起二十日内予以审查，并将审查意见和全部申请材料报送省、自治区、直辖市人民政府司法行政部门。省、自治区、直辖市人民政府司法行政部门应当自收到报送材料之日起十日内予以审核，作出是否准予设立的决定。准予设立的，向申请人颁发律师事务所执业证书；不准予设立的，向申请人书面说明理由。  </w:t>
            </w:r>
          </w:p>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第十九条 成立三年以上并具有二十名以上执业律师的合伙律师事务所，可以设立分所。设立分所，须经拟设立分所所在地的省、自治区、直辖市人民政府司法行政部门审核。申请设立分所的，依照本法第十八条规定的程序办理。</w:t>
            </w:r>
          </w:p>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合伙律师事务所对其分所的债务承担责任。</w:t>
            </w:r>
          </w:p>
        </w:tc>
        <w:tc>
          <w:tcPr>
            <w:tcW w:w="914"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自治区</w:t>
            </w:r>
          </w:p>
        </w:tc>
        <w:tc>
          <w:tcPr>
            <w:tcW w:w="1575"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审核、审批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791" w:type="dxa"/>
            <w:vMerge w:val="continue"/>
          </w:tcPr>
          <w:p>
            <w:pPr>
              <w:ind w:firstLine="336"/>
              <w:jc w:val="left"/>
              <w:rPr>
                <w:rFonts w:ascii="仿宋_GB2312" w:hAnsi="仿宋_GB2312" w:eastAsia="仿宋_GB2312" w:cs="仿宋_GB2312"/>
                <w:color w:val="auto"/>
                <w:szCs w:val="21"/>
              </w:rPr>
            </w:pPr>
          </w:p>
        </w:tc>
        <w:tc>
          <w:tcPr>
            <w:tcW w:w="962" w:type="dxa"/>
            <w:vMerge w:val="continue"/>
            <w:vAlign w:val="center"/>
          </w:tcPr>
          <w:p>
            <w:pPr>
              <w:ind w:firstLine="336"/>
              <w:rPr>
                <w:rFonts w:ascii="仿宋_GB2312" w:hAnsi="仿宋_GB2312" w:eastAsia="仿宋_GB2312" w:cs="仿宋_GB2312"/>
                <w:color w:val="auto"/>
                <w:szCs w:val="21"/>
              </w:rPr>
            </w:pPr>
          </w:p>
        </w:tc>
        <w:tc>
          <w:tcPr>
            <w:tcW w:w="1349" w:type="dxa"/>
            <w:vMerge w:val="continue"/>
          </w:tcPr>
          <w:p>
            <w:pPr>
              <w:ind w:firstLine="336"/>
              <w:rPr>
                <w:rFonts w:ascii="仿宋_GB2312" w:hAnsi="仿宋_GB2312" w:eastAsia="仿宋_GB2312" w:cs="仿宋_GB2312"/>
                <w:color w:val="auto"/>
                <w:szCs w:val="21"/>
              </w:rPr>
            </w:pPr>
          </w:p>
        </w:tc>
        <w:tc>
          <w:tcPr>
            <w:tcW w:w="833" w:type="dxa"/>
            <w:vMerge w:val="continue"/>
            <w:vAlign w:val="center"/>
          </w:tcPr>
          <w:p>
            <w:pPr>
              <w:ind w:firstLine="336"/>
              <w:jc w:val="center"/>
              <w:rPr>
                <w:rFonts w:ascii="仿宋_GB2312" w:hAnsi="仿宋_GB2312" w:eastAsia="仿宋_GB2312" w:cs="仿宋_GB2312"/>
                <w:color w:val="auto"/>
                <w:szCs w:val="21"/>
              </w:rPr>
            </w:pPr>
          </w:p>
        </w:tc>
        <w:tc>
          <w:tcPr>
            <w:tcW w:w="706" w:type="dxa"/>
            <w:vMerge w:val="continue"/>
            <w:vAlign w:val="center"/>
          </w:tcPr>
          <w:p>
            <w:pPr>
              <w:ind w:firstLine="336"/>
              <w:jc w:val="center"/>
              <w:rPr>
                <w:rFonts w:ascii="仿宋_GB2312" w:hAnsi="仿宋_GB2312" w:eastAsia="仿宋_GB2312" w:cs="仿宋_GB2312"/>
                <w:color w:val="auto"/>
                <w:szCs w:val="21"/>
              </w:rPr>
            </w:pPr>
          </w:p>
        </w:tc>
        <w:tc>
          <w:tcPr>
            <w:tcW w:w="7385" w:type="dxa"/>
            <w:vMerge w:val="continue"/>
          </w:tcPr>
          <w:p>
            <w:pPr>
              <w:spacing w:line="270" w:lineRule="exact"/>
              <w:ind w:firstLine="336"/>
              <w:jc w:val="left"/>
              <w:rPr>
                <w:rFonts w:ascii="仿宋_GB2312" w:hAnsi="仿宋_GB2312" w:eastAsia="仿宋_GB2312" w:cs="仿宋_GB2312"/>
                <w:color w:val="auto"/>
                <w:szCs w:val="21"/>
              </w:rPr>
            </w:pPr>
          </w:p>
        </w:tc>
        <w:tc>
          <w:tcPr>
            <w:tcW w:w="914" w:type="dxa"/>
            <w:vAlign w:val="center"/>
          </w:tcPr>
          <w:p>
            <w:pPr>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设区</w:t>
            </w:r>
          </w:p>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的市</w:t>
            </w:r>
          </w:p>
        </w:tc>
        <w:tc>
          <w:tcPr>
            <w:tcW w:w="1575"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受理、初审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791" w:type="dxa"/>
            <w:vMerge w:val="restart"/>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3</w:t>
            </w:r>
          </w:p>
        </w:tc>
        <w:tc>
          <w:tcPr>
            <w:tcW w:w="962" w:type="dxa"/>
            <w:vMerge w:val="restart"/>
            <w:vAlign w:val="center"/>
          </w:tcPr>
          <w:p>
            <w:pPr>
              <w:spacing w:line="27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公证机构设立审批和公证员执业、变更许可</w:t>
            </w:r>
          </w:p>
        </w:tc>
        <w:tc>
          <w:tcPr>
            <w:tcW w:w="1349" w:type="dxa"/>
            <w:vMerge w:val="restart"/>
            <w:vAlign w:val="center"/>
          </w:tcPr>
          <w:p>
            <w:pPr>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公证机构</w:t>
            </w:r>
          </w:p>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设立审批</w:t>
            </w:r>
          </w:p>
        </w:tc>
        <w:tc>
          <w:tcPr>
            <w:tcW w:w="833" w:type="dxa"/>
            <w:vMerge w:val="restart"/>
            <w:vAlign w:val="center"/>
          </w:tcPr>
          <w:p>
            <w:pPr>
              <w:adjustRightInd w:val="0"/>
              <w:snapToGrid w:val="0"/>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010900300</w:t>
            </w:r>
            <w:r>
              <w:rPr>
                <w:rFonts w:ascii="仿宋_GB2312" w:hAnsi="仿宋_GB2312" w:eastAsia="仿宋_GB2312" w:cs="仿宋_GB2312"/>
                <w:color w:val="auto"/>
                <w:szCs w:val="21"/>
              </w:rPr>
              <w:t>1</w:t>
            </w:r>
          </w:p>
        </w:tc>
        <w:tc>
          <w:tcPr>
            <w:tcW w:w="706" w:type="dxa"/>
            <w:vMerge w:val="restart"/>
            <w:vAlign w:val="center"/>
          </w:tcPr>
          <w:p>
            <w:pPr>
              <w:adjustRightInd w:val="0"/>
              <w:snapToGrid w:val="0"/>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385" w:type="dxa"/>
            <w:vMerge w:val="restart"/>
            <w:vAlign w:val="center"/>
          </w:tcPr>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【法律】《中华人民共和国公证法》（2017年修正）</w:t>
            </w:r>
          </w:p>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第九条 设立公证机构，由所在地的司法行政部门报省、自治区、直辖市人民政府司法行政部门按照规定程序批准后，颁发公证机构执业证书。</w:t>
            </w:r>
          </w:p>
        </w:tc>
        <w:tc>
          <w:tcPr>
            <w:tcW w:w="914"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自治区</w:t>
            </w:r>
          </w:p>
        </w:tc>
        <w:tc>
          <w:tcPr>
            <w:tcW w:w="1575"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审核、审批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jc w:val="center"/>
        </w:trPr>
        <w:tc>
          <w:tcPr>
            <w:tcW w:w="791" w:type="dxa"/>
            <w:vMerge w:val="continue"/>
            <w:vAlign w:val="center"/>
          </w:tcPr>
          <w:p>
            <w:pPr>
              <w:jc w:val="center"/>
              <w:rPr>
                <w:rFonts w:ascii="仿宋_GB2312" w:hAnsi="仿宋_GB2312" w:eastAsia="仿宋_GB2312" w:cs="仿宋_GB2312"/>
                <w:color w:val="auto"/>
                <w:szCs w:val="21"/>
              </w:rPr>
            </w:pPr>
          </w:p>
        </w:tc>
        <w:tc>
          <w:tcPr>
            <w:tcW w:w="962" w:type="dxa"/>
            <w:vMerge w:val="continue"/>
            <w:vAlign w:val="center"/>
          </w:tcPr>
          <w:p>
            <w:pPr>
              <w:rPr>
                <w:rFonts w:ascii="仿宋_GB2312" w:hAnsi="仿宋_GB2312" w:eastAsia="仿宋_GB2312" w:cs="仿宋_GB2312"/>
                <w:color w:val="auto"/>
                <w:szCs w:val="21"/>
              </w:rPr>
            </w:pPr>
          </w:p>
        </w:tc>
        <w:tc>
          <w:tcPr>
            <w:tcW w:w="1349" w:type="dxa"/>
            <w:vMerge w:val="continue"/>
            <w:vAlign w:val="center"/>
          </w:tcPr>
          <w:p>
            <w:pPr>
              <w:rPr>
                <w:rFonts w:ascii="仿宋_GB2312" w:hAnsi="仿宋_GB2312" w:eastAsia="仿宋_GB2312" w:cs="仿宋_GB2312"/>
                <w:color w:val="auto"/>
                <w:szCs w:val="21"/>
              </w:rPr>
            </w:pPr>
          </w:p>
        </w:tc>
        <w:tc>
          <w:tcPr>
            <w:tcW w:w="833" w:type="dxa"/>
            <w:vMerge w:val="continue"/>
            <w:vAlign w:val="center"/>
          </w:tcPr>
          <w:p>
            <w:pPr>
              <w:jc w:val="center"/>
              <w:rPr>
                <w:rFonts w:ascii="仿宋_GB2312" w:hAnsi="仿宋_GB2312" w:eastAsia="仿宋_GB2312" w:cs="仿宋_GB2312"/>
                <w:color w:val="auto"/>
                <w:szCs w:val="21"/>
              </w:rPr>
            </w:pPr>
          </w:p>
        </w:tc>
        <w:tc>
          <w:tcPr>
            <w:tcW w:w="706" w:type="dxa"/>
            <w:vMerge w:val="continue"/>
            <w:vAlign w:val="center"/>
          </w:tcPr>
          <w:p>
            <w:pPr>
              <w:jc w:val="center"/>
              <w:rPr>
                <w:rFonts w:ascii="仿宋_GB2312" w:hAnsi="仿宋_GB2312" w:eastAsia="仿宋_GB2312" w:cs="仿宋_GB2312"/>
                <w:color w:val="auto"/>
                <w:szCs w:val="21"/>
              </w:rPr>
            </w:pPr>
          </w:p>
        </w:tc>
        <w:tc>
          <w:tcPr>
            <w:tcW w:w="7385" w:type="dxa"/>
            <w:vMerge w:val="continue"/>
          </w:tcPr>
          <w:p>
            <w:pPr>
              <w:spacing w:line="270" w:lineRule="exact"/>
              <w:jc w:val="left"/>
              <w:rPr>
                <w:rFonts w:ascii="仿宋_GB2312" w:hAnsi="仿宋_GB2312" w:eastAsia="仿宋_GB2312" w:cs="仿宋_GB2312"/>
                <w:color w:val="auto"/>
                <w:szCs w:val="21"/>
              </w:rPr>
            </w:pPr>
          </w:p>
        </w:tc>
        <w:tc>
          <w:tcPr>
            <w:tcW w:w="914" w:type="dxa"/>
            <w:vAlign w:val="center"/>
          </w:tcPr>
          <w:p>
            <w:pPr>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设区</w:t>
            </w:r>
          </w:p>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的市</w:t>
            </w:r>
          </w:p>
        </w:tc>
        <w:tc>
          <w:tcPr>
            <w:tcW w:w="1575"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791" w:type="dxa"/>
            <w:vMerge w:val="continue"/>
            <w:vAlign w:val="center"/>
          </w:tcPr>
          <w:p>
            <w:pPr>
              <w:jc w:val="center"/>
              <w:rPr>
                <w:rFonts w:ascii="仿宋_GB2312" w:hAnsi="仿宋_GB2312" w:eastAsia="仿宋_GB2312" w:cs="仿宋_GB2312"/>
                <w:color w:val="auto"/>
                <w:szCs w:val="21"/>
              </w:rPr>
            </w:pPr>
          </w:p>
        </w:tc>
        <w:tc>
          <w:tcPr>
            <w:tcW w:w="962" w:type="dxa"/>
            <w:vMerge w:val="continue"/>
            <w:vAlign w:val="center"/>
          </w:tcPr>
          <w:p>
            <w:pPr>
              <w:rPr>
                <w:rFonts w:ascii="仿宋_GB2312" w:hAnsi="仿宋_GB2312" w:eastAsia="仿宋_GB2312" w:cs="仿宋_GB2312"/>
                <w:color w:val="auto"/>
                <w:szCs w:val="21"/>
              </w:rPr>
            </w:pPr>
          </w:p>
        </w:tc>
        <w:tc>
          <w:tcPr>
            <w:tcW w:w="1349" w:type="dxa"/>
            <w:vMerge w:val="continue"/>
            <w:vAlign w:val="center"/>
          </w:tcPr>
          <w:p>
            <w:pPr>
              <w:rPr>
                <w:rFonts w:ascii="仿宋_GB2312" w:hAnsi="仿宋_GB2312" w:eastAsia="仿宋_GB2312" w:cs="仿宋_GB2312"/>
                <w:color w:val="auto"/>
                <w:szCs w:val="21"/>
              </w:rPr>
            </w:pPr>
          </w:p>
        </w:tc>
        <w:tc>
          <w:tcPr>
            <w:tcW w:w="833" w:type="dxa"/>
            <w:vMerge w:val="continue"/>
            <w:vAlign w:val="center"/>
          </w:tcPr>
          <w:p>
            <w:pPr>
              <w:jc w:val="center"/>
              <w:rPr>
                <w:rFonts w:ascii="仿宋_GB2312" w:hAnsi="仿宋_GB2312" w:eastAsia="仿宋_GB2312" w:cs="仿宋_GB2312"/>
                <w:color w:val="auto"/>
                <w:szCs w:val="21"/>
              </w:rPr>
            </w:pPr>
          </w:p>
        </w:tc>
        <w:tc>
          <w:tcPr>
            <w:tcW w:w="706" w:type="dxa"/>
            <w:vMerge w:val="continue"/>
            <w:vAlign w:val="center"/>
          </w:tcPr>
          <w:p>
            <w:pPr>
              <w:jc w:val="center"/>
              <w:rPr>
                <w:rFonts w:ascii="仿宋_GB2312" w:hAnsi="仿宋_GB2312" w:eastAsia="仿宋_GB2312" w:cs="仿宋_GB2312"/>
                <w:color w:val="auto"/>
                <w:szCs w:val="21"/>
              </w:rPr>
            </w:pPr>
          </w:p>
        </w:tc>
        <w:tc>
          <w:tcPr>
            <w:tcW w:w="7385" w:type="dxa"/>
            <w:vMerge w:val="continue"/>
          </w:tcPr>
          <w:p>
            <w:pPr>
              <w:spacing w:line="270" w:lineRule="exact"/>
              <w:jc w:val="left"/>
              <w:rPr>
                <w:rFonts w:ascii="仿宋_GB2312" w:hAnsi="仿宋_GB2312" w:eastAsia="仿宋_GB2312" w:cs="仿宋_GB2312"/>
                <w:color w:val="auto"/>
                <w:szCs w:val="21"/>
              </w:rPr>
            </w:pPr>
          </w:p>
        </w:tc>
        <w:tc>
          <w:tcPr>
            <w:tcW w:w="914"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县级</w:t>
            </w:r>
          </w:p>
        </w:tc>
        <w:tc>
          <w:tcPr>
            <w:tcW w:w="1575"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受理、初审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jc w:val="center"/>
        </w:trPr>
        <w:tc>
          <w:tcPr>
            <w:tcW w:w="791" w:type="dxa"/>
            <w:vMerge w:val="continue"/>
            <w:vAlign w:val="center"/>
          </w:tcPr>
          <w:p>
            <w:pPr>
              <w:ind w:firstLine="336"/>
              <w:jc w:val="center"/>
              <w:rPr>
                <w:rFonts w:ascii="仿宋_GB2312" w:hAnsi="仿宋_GB2312" w:eastAsia="仿宋_GB2312" w:cs="仿宋_GB2312"/>
                <w:color w:val="auto"/>
                <w:szCs w:val="21"/>
              </w:rPr>
            </w:pPr>
          </w:p>
        </w:tc>
        <w:tc>
          <w:tcPr>
            <w:tcW w:w="962" w:type="dxa"/>
            <w:vMerge w:val="continue"/>
            <w:vAlign w:val="center"/>
          </w:tcPr>
          <w:p>
            <w:pPr>
              <w:rPr>
                <w:rFonts w:ascii="仿宋_GB2312" w:hAnsi="仿宋_GB2312" w:eastAsia="仿宋_GB2312" w:cs="仿宋_GB2312"/>
                <w:color w:val="auto"/>
                <w:szCs w:val="21"/>
              </w:rPr>
            </w:pPr>
          </w:p>
        </w:tc>
        <w:tc>
          <w:tcPr>
            <w:tcW w:w="1349" w:type="dxa"/>
            <w:vMerge w:val="restart"/>
            <w:vAlign w:val="center"/>
          </w:tcPr>
          <w:p>
            <w:pPr>
              <w:adjustRightInd w:val="0"/>
              <w:snapToGrid w:val="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公证员执业、变更许可</w:t>
            </w:r>
          </w:p>
        </w:tc>
        <w:tc>
          <w:tcPr>
            <w:tcW w:w="833" w:type="dxa"/>
            <w:vMerge w:val="restart"/>
            <w:vAlign w:val="center"/>
          </w:tcPr>
          <w:p>
            <w:pPr>
              <w:adjustRightInd w:val="0"/>
              <w:snapToGrid w:val="0"/>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0109003002</w:t>
            </w:r>
          </w:p>
        </w:tc>
        <w:tc>
          <w:tcPr>
            <w:tcW w:w="706" w:type="dxa"/>
            <w:vMerge w:val="restart"/>
            <w:vAlign w:val="center"/>
          </w:tcPr>
          <w:p>
            <w:pPr>
              <w:adjustRightInd w:val="0"/>
              <w:snapToGrid w:val="0"/>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385" w:type="dxa"/>
            <w:vMerge w:val="restart"/>
          </w:tcPr>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【法律】《中华人民共和国公证法》（2017年修正）</w:t>
            </w:r>
          </w:p>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第十七条 公证员的数量根据公证业务需要确定。省、自治区、直辖市人民政府司法行政部门应当根据公证机构的设置情况和公证业务的需要核定公证员配备方案，报国务院司法行政部门备案。</w:t>
            </w:r>
          </w:p>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第二十一条 担任公证员，应当由符合公证员条件的人员提出申请，经公证机构推荐，由所在地的司法行政部门报省、自治区、直辖市人民政府司法行政部门审核同意后，报请国务院司法行政部门任命，并由省、自治区、直辖市人民政府司法行政部门颁发公证员执业证书。</w:t>
            </w:r>
          </w:p>
        </w:tc>
        <w:tc>
          <w:tcPr>
            <w:tcW w:w="914"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自治区</w:t>
            </w:r>
          </w:p>
        </w:tc>
        <w:tc>
          <w:tcPr>
            <w:tcW w:w="1575"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审核、审批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791" w:type="dxa"/>
            <w:vMerge w:val="continue"/>
            <w:vAlign w:val="center"/>
          </w:tcPr>
          <w:p>
            <w:pPr>
              <w:jc w:val="center"/>
              <w:rPr>
                <w:rFonts w:ascii="仿宋_GB2312" w:hAnsi="仿宋_GB2312" w:eastAsia="仿宋_GB2312" w:cs="仿宋_GB2312"/>
                <w:color w:val="auto"/>
                <w:szCs w:val="21"/>
              </w:rPr>
            </w:pPr>
          </w:p>
        </w:tc>
        <w:tc>
          <w:tcPr>
            <w:tcW w:w="962" w:type="dxa"/>
            <w:vMerge w:val="continue"/>
            <w:vAlign w:val="center"/>
          </w:tcPr>
          <w:p>
            <w:pPr>
              <w:rPr>
                <w:rFonts w:ascii="仿宋_GB2312" w:hAnsi="仿宋_GB2312" w:eastAsia="仿宋_GB2312" w:cs="仿宋_GB2312"/>
                <w:color w:val="auto"/>
                <w:szCs w:val="21"/>
              </w:rPr>
            </w:pPr>
          </w:p>
        </w:tc>
        <w:tc>
          <w:tcPr>
            <w:tcW w:w="1349" w:type="dxa"/>
            <w:vMerge w:val="continue"/>
          </w:tcPr>
          <w:p>
            <w:pPr>
              <w:rPr>
                <w:rFonts w:ascii="仿宋_GB2312" w:hAnsi="仿宋_GB2312" w:eastAsia="仿宋_GB2312" w:cs="仿宋_GB2312"/>
                <w:color w:val="auto"/>
                <w:szCs w:val="21"/>
              </w:rPr>
            </w:pPr>
          </w:p>
        </w:tc>
        <w:tc>
          <w:tcPr>
            <w:tcW w:w="833" w:type="dxa"/>
            <w:vMerge w:val="continue"/>
            <w:vAlign w:val="center"/>
          </w:tcPr>
          <w:p>
            <w:pPr>
              <w:jc w:val="center"/>
              <w:rPr>
                <w:rFonts w:ascii="仿宋_GB2312" w:hAnsi="仿宋_GB2312" w:eastAsia="仿宋_GB2312" w:cs="仿宋_GB2312"/>
                <w:color w:val="auto"/>
                <w:szCs w:val="21"/>
              </w:rPr>
            </w:pPr>
          </w:p>
        </w:tc>
        <w:tc>
          <w:tcPr>
            <w:tcW w:w="706" w:type="dxa"/>
            <w:vMerge w:val="continue"/>
            <w:vAlign w:val="center"/>
          </w:tcPr>
          <w:p>
            <w:pPr>
              <w:jc w:val="center"/>
              <w:rPr>
                <w:rFonts w:ascii="仿宋_GB2312" w:hAnsi="仿宋_GB2312" w:eastAsia="仿宋_GB2312" w:cs="仿宋_GB2312"/>
                <w:color w:val="auto"/>
                <w:szCs w:val="21"/>
              </w:rPr>
            </w:pPr>
          </w:p>
        </w:tc>
        <w:tc>
          <w:tcPr>
            <w:tcW w:w="7385" w:type="dxa"/>
            <w:vMerge w:val="continue"/>
          </w:tcPr>
          <w:p>
            <w:pPr>
              <w:spacing w:line="270" w:lineRule="exact"/>
              <w:jc w:val="left"/>
              <w:rPr>
                <w:rFonts w:ascii="仿宋_GB2312" w:hAnsi="仿宋_GB2312" w:eastAsia="仿宋_GB2312" w:cs="仿宋_GB2312"/>
                <w:color w:val="auto"/>
                <w:szCs w:val="21"/>
              </w:rPr>
            </w:pPr>
          </w:p>
        </w:tc>
        <w:tc>
          <w:tcPr>
            <w:tcW w:w="914" w:type="dxa"/>
            <w:vAlign w:val="center"/>
          </w:tcPr>
          <w:p>
            <w:pPr>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设区</w:t>
            </w:r>
          </w:p>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的市</w:t>
            </w:r>
          </w:p>
        </w:tc>
        <w:tc>
          <w:tcPr>
            <w:tcW w:w="1575"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791" w:type="dxa"/>
            <w:vMerge w:val="continue"/>
            <w:vAlign w:val="center"/>
          </w:tcPr>
          <w:p>
            <w:pPr>
              <w:jc w:val="center"/>
              <w:rPr>
                <w:rFonts w:ascii="仿宋_GB2312" w:hAnsi="仿宋_GB2312" w:eastAsia="仿宋_GB2312" w:cs="仿宋_GB2312"/>
                <w:color w:val="auto"/>
                <w:szCs w:val="21"/>
              </w:rPr>
            </w:pPr>
          </w:p>
        </w:tc>
        <w:tc>
          <w:tcPr>
            <w:tcW w:w="962" w:type="dxa"/>
            <w:vMerge w:val="continue"/>
            <w:vAlign w:val="center"/>
          </w:tcPr>
          <w:p>
            <w:pPr>
              <w:rPr>
                <w:rFonts w:ascii="仿宋_GB2312" w:hAnsi="仿宋_GB2312" w:eastAsia="仿宋_GB2312" w:cs="仿宋_GB2312"/>
                <w:color w:val="auto"/>
                <w:szCs w:val="21"/>
              </w:rPr>
            </w:pPr>
          </w:p>
        </w:tc>
        <w:tc>
          <w:tcPr>
            <w:tcW w:w="1349" w:type="dxa"/>
            <w:vMerge w:val="continue"/>
          </w:tcPr>
          <w:p>
            <w:pPr>
              <w:rPr>
                <w:rFonts w:ascii="仿宋_GB2312" w:hAnsi="仿宋_GB2312" w:eastAsia="仿宋_GB2312" w:cs="仿宋_GB2312"/>
                <w:color w:val="auto"/>
                <w:szCs w:val="21"/>
              </w:rPr>
            </w:pPr>
          </w:p>
        </w:tc>
        <w:tc>
          <w:tcPr>
            <w:tcW w:w="833" w:type="dxa"/>
            <w:vMerge w:val="continue"/>
            <w:vAlign w:val="center"/>
          </w:tcPr>
          <w:p>
            <w:pPr>
              <w:jc w:val="center"/>
              <w:rPr>
                <w:rFonts w:ascii="仿宋_GB2312" w:hAnsi="仿宋_GB2312" w:eastAsia="仿宋_GB2312" w:cs="仿宋_GB2312"/>
                <w:color w:val="auto"/>
                <w:szCs w:val="21"/>
              </w:rPr>
            </w:pPr>
          </w:p>
        </w:tc>
        <w:tc>
          <w:tcPr>
            <w:tcW w:w="706" w:type="dxa"/>
            <w:vMerge w:val="continue"/>
            <w:vAlign w:val="center"/>
          </w:tcPr>
          <w:p>
            <w:pPr>
              <w:jc w:val="center"/>
              <w:rPr>
                <w:rFonts w:ascii="仿宋_GB2312" w:hAnsi="仿宋_GB2312" w:eastAsia="仿宋_GB2312" w:cs="仿宋_GB2312"/>
                <w:color w:val="auto"/>
                <w:szCs w:val="21"/>
              </w:rPr>
            </w:pPr>
          </w:p>
        </w:tc>
        <w:tc>
          <w:tcPr>
            <w:tcW w:w="7385" w:type="dxa"/>
            <w:vMerge w:val="continue"/>
          </w:tcPr>
          <w:p>
            <w:pPr>
              <w:spacing w:line="270" w:lineRule="exact"/>
              <w:jc w:val="left"/>
              <w:rPr>
                <w:rFonts w:ascii="仿宋_GB2312" w:hAnsi="仿宋_GB2312" w:eastAsia="仿宋_GB2312" w:cs="仿宋_GB2312"/>
                <w:color w:val="auto"/>
                <w:szCs w:val="21"/>
              </w:rPr>
            </w:pPr>
          </w:p>
        </w:tc>
        <w:tc>
          <w:tcPr>
            <w:tcW w:w="914"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县级</w:t>
            </w:r>
          </w:p>
        </w:tc>
        <w:tc>
          <w:tcPr>
            <w:tcW w:w="1575"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受理、初审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9" w:hRule="atLeast"/>
          <w:jc w:val="center"/>
        </w:trPr>
        <w:tc>
          <w:tcPr>
            <w:tcW w:w="791" w:type="dxa"/>
            <w:vMerge w:val="restart"/>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4</w:t>
            </w:r>
          </w:p>
        </w:tc>
        <w:tc>
          <w:tcPr>
            <w:tcW w:w="962" w:type="dxa"/>
            <w:vMerge w:val="restart"/>
            <w:vAlign w:val="center"/>
          </w:tcPr>
          <w:p>
            <w:pPr>
              <w:adjustRightInd w:val="0"/>
              <w:snapToGrid w:val="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律师执业、变更、注销</w:t>
            </w:r>
          </w:p>
          <w:p>
            <w:pPr>
              <w:adjustRightInd w:val="0"/>
              <w:snapToGrid w:val="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许可</w:t>
            </w:r>
          </w:p>
        </w:tc>
        <w:tc>
          <w:tcPr>
            <w:tcW w:w="1349" w:type="dxa"/>
            <w:vMerge w:val="restart"/>
            <w:vAlign w:val="center"/>
          </w:tcPr>
          <w:p>
            <w:pPr>
              <w:adjustRightInd w:val="0"/>
              <w:snapToGrid w:val="0"/>
              <w:rPr>
                <w:rFonts w:ascii="仿宋_GB2312" w:hAnsi="仿宋_GB2312" w:eastAsia="仿宋_GB2312" w:cs="仿宋_GB2312"/>
                <w:color w:val="auto"/>
                <w:szCs w:val="21"/>
              </w:rPr>
            </w:pPr>
          </w:p>
        </w:tc>
        <w:tc>
          <w:tcPr>
            <w:tcW w:w="833" w:type="dxa"/>
            <w:vMerge w:val="restart"/>
            <w:vAlign w:val="center"/>
          </w:tcPr>
          <w:p>
            <w:pPr>
              <w:adjustRightInd w:val="0"/>
              <w:snapToGrid w:val="0"/>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0109004000</w:t>
            </w:r>
          </w:p>
        </w:tc>
        <w:tc>
          <w:tcPr>
            <w:tcW w:w="706" w:type="dxa"/>
            <w:vMerge w:val="restart"/>
            <w:vAlign w:val="center"/>
          </w:tcPr>
          <w:p>
            <w:pPr>
              <w:adjustRightInd w:val="0"/>
              <w:snapToGrid w:val="0"/>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385" w:type="dxa"/>
            <w:vMerge w:val="restart"/>
            <w:vAlign w:val="center"/>
          </w:tcPr>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【法律】《中华人民共和国律师法》（2017年修正）</w:t>
            </w:r>
          </w:p>
          <w:p>
            <w:pPr>
              <w:adjustRightInd w:val="0"/>
              <w:snapToGrid w:val="0"/>
              <w:spacing w:line="270" w:lineRule="exact"/>
              <w:ind w:firstLine="420" w:firstLineChars="200"/>
              <w:rPr>
                <w:rFonts w:ascii="仿宋_GB2312" w:hAnsi="仿宋_GB2312" w:eastAsia="仿宋_GB2312" w:cs="仿宋_GB2312"/>
                <w:color w:val="auto"/>
                <w:szCs w:val="21"/>
              </w:rPr>
            </w:pPr>
            <w:bookmarkStart w:id="0" w:name="6"/>
            <w:r>
              <w:rPr>
                <w:rFonts w:hint="eastAsia" w:ascii="仿宋_GB2312" w:hAnsi="仿宋_GB2312" w:eastAsia="仿宋_GB2312" w:cs="仿宋_GB2312"/>
                <w:color w:val="auto"/>
                <w:szCs w:val="21"/>
              </w:rPr>
              <w:t>第六条</w:t>
            </w:r>
            <w:bookmarkEnd w:id="0"/>
            <w:r>
              <w:rPr>
                <w:rFonts w:hint="eastAsia" w:ascii="仿宋_GB2312" w:hAnsi="仿宋_GB2312" w:eastAsia="仿宋_GB2312" w:cs="仿宋_GB2312"/>
                <w:color w:val="auto"/>
                <w:szCs w:val="21"/>
              </w:rPr>
              <w:t>第一款 申请律师执业，应当向设区的市级或者直辖市的区人民政府司法行政部门提出申请，并提交下列材料：（一）国家统一法律职业资格证书；（二）律师协会出具的申请人实习考核合格的材料；（三）申请人的身份证明；（四）律师事务所出具的同意接收申请人的证明。</w:t>
            </w:r>
          </w:p>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第三款 受理申请的部门应当自受理之日起二十日内予以审查，并将审查意见和全部申请材料报送省、自治区、直辖市人民政府司法行政部门。省、自治区、直辖市人民政府司法行政部门应当自收到报送材料之日起十日内予以审核，作出是否准予执业的决定。准予执业的，向申请人颁发律师执业证书；不准予执业的，向申请人书面说明理由。</w:t>
            </w:r>
          </w:p>
        </w:tc>
        <w:tc>
          <w:tcPr>
            <w:tcW w:w="914" w:type="dxa"/>
            <w:vAlign w:val="center"/>
          </w:tcPr>
          <w:p>
            <w:pPr>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自治区</w:t>
            </w:r>
          </w:p>
        </w:tc>
        <w:tc>
          <w:tcPr>
            <w:tcW w:w="1575"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审核、审批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jc w:val="center"/>
        </w:trPr>
        <w:tc>
          <w:tcPr>
            <w:tcW w:w="791" w:type="dxa"/>
            <w:vMerge w:val="continue"/>
            <w:vAlign w:val="center"/>
          </w:tcPr>
          <w:p>
            <w:pPr>
              <w:jc w:val="center"/>
              <w:rPr>
                <w:rFonts w:ascii="仿宋_GB2312" w:hAnsi="仿宋_GB2312" w:eastAsia="仿宋_GB2312" w:cs="仿宋_GB2312"/>
                <w:color w:val="auto"/>
                <w:szCs w:val="21"/>
              </w:rPr>
            </w:pPr>
          </w:p>
        </w:tc>
        <w:tc>
          <w:tcPr>
            <w:tcW w:w="962" w:type="dxa"/>
            <w:vMerge w:val="continue"/>
            <w:vAlign w:val="center"/>
          </w:tcPr>
          <w:p>
            <w:pPr>
              <w:rPr>
                <w:rFonts w:ascii="仿宋_GB2312" w:hAnsi="仿宋_GB2312" w:eastAsia="仿宋_GB2312" w:cs="仿宋_GB2312"/>
                <w:color w:val="auto"/>
                <w:szCs w:val="21"/>
              </w:rPr>
            </w:pPr>
          </w:p>
        </w:tc>
        <w:tc>
          <w:tcPr>
            <w:tcW w:w="1349" w:type="dxa"/>
            <w:vMerge w:val="continue"/>
            <w:vAlign w:val="center"/>
          </w:tcPr>
          <w:p>
            <w:pPr>
              <w:rPr>
                <w:rFonts w:ascii="仿宋_GB2312" w:hAnsi="仿宋_GB2312" w:eastAsia="仿宋_GB2312" w:cs="仿宋_GB2312"/>
                <w:color w:val="auto"/>
                <w:szCs w:val="21"/>
              </w:rPr>
            </w:pPr>
          </w:p>
        </w:tc>
        <w:tc>
          <w:tcPr>
            <w:tcW w:w="833" w:type="dxa"/>
            <w:vMerge w:val="continue"/>
            <w:vAlign w:val="center"/>
          </w:tcPr>
          <w:p>
            <w:pPr>
              <w:jc w:val="center"/>
              <w:rPr>
                <w:rFonts w:ascii="仿宋_GB2312" w:hAnsi="仿宋_GB2312" w:eastAsia="仿宋_GB2312" w:cs="仿宋_GB2312"/>
                <w:color w:val="auto"/>
                <w:szCs w:val="21"/>
                <w:shd w:val="clear" w:color="auto" w:fill="FFFFFF"/>
              </w:rPr>
            </w:pPr>
          </w:p>
        </w:tc>
        <w:tc>
          <w:tcPr>
            <w:tcW w:w="706" w:type="dxa"/>
            <w:vMerge w:val="continue"/>
            <w:vAlign w:val="center"/>
          </w:tcPr>
          <w:p>
            <w:pPr>
              <w:jc w:val="center"/>
              <w:rPr>
                <w:rFonts w:ascii="仿宋_GB2312" w:hAnsi="仿宋_GB2312" w:eastAsia="仿宋_GB2312" w:cs="仿宋_GB2312"/>
                <w:color w:val="auto"/>
                <w:szCs w:val="21"/>
                <w:shd w:val="clear" w:color="auto" w:fill="FFFFFF"/>
              </w:rPr>
            </w:pPr>
          </w:p>
        </w:tc>
        <w:tc>
          <w:tcPr>
            <w:tcW w:w="7385" w:type="dxa"/>
            <w:vMerge w:val="continue"/>
            <w:vAlign w:val="center"/>
          </w:tcPr>
          <w:p>
            <w:pPr>
              <w:spacing w:line="270" w:lineRule="exact"/>
              <w:ind w:firstLine="336"/>
              <w:rPr>
                <w:rFonts w:ascii="仿宋_GB2312" w:hAnsi="仿宋_GB2312" w:eastAsia="仿宋_GB2312" w:cs="仿宋_GB2312"/>
                <w:color w:val="auto"/>
                <w:szCs w:val="21"/>
                <w:shd w:val="clear" w:color="auto" w:fill="FFFFFF"/>
              </w:rPr>
            </w:pPr>
          </w:p>
        </w:tc>
        <w:tc>
          <w:tcPr>
            <w:tcW w:w="914" w:type="dxa"/>
            <w:vAlign w:val="center"/>
          </w:tcPr>
          <w:p>
            <w:pPr>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设区</w:t>
            </w:r>
          </w:p>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的市</w:t>
            </w:r>
          </w:p>
        </w:tc>
        <w:tc>
          <w:tcPr>
            <w:tcW w:w="1575"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7" w:hRule="atLeast"/>
          <w:jc w:val="center"/>
        </w:trPr>
        <w:tc>
          <w:tcPr>
            <w:tcW w:w="791" w:type="dxa"/>
            <w:vMerge w:val="restart"/>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5</w:t>
            </w:r>
          </w:p>
        </w:tc>
        <w:tc>
          <w:tcPr>
            <w:tcW w:w="962" w:type="dxa"/>
            <w:vMerge w:val="restart"/>
            <w:vAlign w:val="center"/>
          </w:tcPr>
          <w:p>
            <w:pPr>
              <w:adjustRightInd w:val="0"/>
              <w:snapToGrid w:val="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司法鉴定人执业核准及司法鉴定机构审批</w:t>
            </w:r>
          </w:p>
        </w:tc>
        <w:tc>
          <w:tcPr>
            <w:tcW w:w="1349" w:type="dxa"/>
            <w:vAlign w:val="center"/>
          </w:tcPr>
          <w:p>
            <w:pPr>
              <w:adjustRightInd w:val="0"/>
              <w:snapToGrid w:val="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司法鉴定人执业、变更、注销登记</w:t>
            </w:r>
          </w:p>
        </w:tc>
        <w:tc>
          <w:tcPr>
            <w:tcW w:w="833" w:type="dxa"/>
            <w:vAlign w:val="center"/>
          </w:tcPr>
          <w:p>
            <w:pPr>
              <w:adjustRightInd w:val="0"/>
              <w:snapToGrid w:val="0"/>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0109005001</w:t>
            </w:r>
          </w:p>
        </w:tc>
        <w:tc>
          <w:tcPr>
            <w:tcW w:w="706" w:type="dxa"/>
            <w:vAlign w:val="center"/>
          </w:tcPr>
          <w:p>
            <w:pPr>
              <w:adjustRightInd w:val="0"/>
              <w:snapToGrid w:val="0"/>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385" w:type="dxa"/>
          </w:tcPr>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【法律】《全国人民代表大会常务委员会关于司法鉴定管理问题的决定》（2015年修正）</w:t>
            </w:r>
          </w:p>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三、国务院司法行政部门主管全国鉴定人和鉴定机构的登记管理工作。省级人民政府司法行政部门依照本决定的规定，负责对鉴定人和鉴定机构的登记、名册编制和公告。</w:t>
            </w:r>
          </w:p>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六、申请从事司法鉴定业务的个人、法人或者其他组织，由省级人民政府司法行政部门审核，对符合条件的予以登记，编入鉴定人和鉴定机构名册并公告。</w:t>
            </w:r>
          </w:p>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省级人民政府司法行政部门应当根据鉴定人或者鉴定机构的增加和撤销登记情况，定期更新所编制的鉴定人和鉴定机构名册并公告。</w:t>
            </w:r>
          </w:p>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【行政法规】《国务院对确需保留的行政审批项目设定行政许可的决定》（2016年国务院令第671号修改）</w:t>
            </w:r>
          </w:p>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第76项 面向社会服务的司法鉴定人执业核准由司法部、省级人民政府司法行政主管部门实施。</w:t>
            </w:r>
          </w:p>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【部门规章】《司法鉴定人登记管理办法》（2005年司法部令第96号）</w:t>
            </w:r>
          </w:p>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第九条 省级司法行政机关负责本行政区域内司法鉴定人登记管理工作。依法履行下列职责：……。</w:t>
            </w:r>
          </w:p>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第十条 省级司法行政机关可以委托下一级司法行政机关协助办理本办法第九条规定的有关工作。</w:t>
            </w:r>
          </w:p>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第二十条 司法鉴定人有下列情形之一的，原负责登记的司法行政机关应当依法办理注销登记手续：……。</w:t>
            </w:r>
          </w:p>
        </w:tc>
        <w:tc>
          <w:tcPr>
            <w:tcW w:w="914"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自治区</w:t>
            </w:r>
          </w:p>
        </w:tc>
        <w:tc>
          <w:tcPr>
            <w:tcW w:w="1575" w:type="dxa"/>
            <w:vAlign w:val="center"/>
          </w:tcPr>
          <w:p>
            <w:pPr>
              <w:ind w:firstLine="336"/>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791" w:type="dxa"/>
            <w:vMerge w:val="continue"/>
          </w:tcPr>
          <w:p>
            <w:pPr>
              <w:ind w:firstLine="336"/>
              <w:jc w:val="left"/>
              <w:rPr>
                <w:rFonts w:ascii="仿宋_GB2312" w:hAnsi="仿宋_GB2312" w:eastAsia="仿宋_GB2312" w:cs="仿宋_GB2312"/>
                <w:color w:val="auto"/>
                <w:szCs w:val="21"/>
              </w:rPr>
            </w:pPr>
          </w:p>
        </w:tc>
        <w:tc>
          <w:tcPr>
            <w:tcW w:w="962" w:type="dxa"/>
            <w:vMerge w:val="continue"/>
            <w:vAlign w:val="center"/>
          </w:tcPr>
          <w:p>
            <w:pPr>
              <w:rPr>
                <w:rFonts w:ascii="仿宋_GB2312" w:hAnsi="仿宋_GB2312" w:eastAsia="仿宋_GB2312" w:cs="仿宋_GB2312"/>
                <w:color w:val="auto"/>
                <w:szCs w:val="21"/>
              </w:rPr>
            </w:pPr>
          </w:p>
        </w:tc>
        <w:tc>
          <w:tcPr>
            <w:tcW w:w="1349" w:type="dxa"/>
            <w:vAlign w:val="center"/>
          </w:tcPr>
          <w:p>
            <w:pPr>
              <w:adjustRightInd w:val="0"/>
              <w:snapToGrid w:val="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设立司法鉴定机构及其分支机构设立、变更、注销登记</w:t>
            </w:r>
          </w:p>
        </w:tc>
        <w:tc>
          <w:tcPr>
            <w:tcW w:w="833" w:type="dxa"/>
            <w:vAlign w:val="center"/>
          </w:tcPr>
          <w:p>
            <w:pPr>
              <w:adjustRightInd w:val="0"/>
              <w:snapToGrid w:val="0"/>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0109005002</w:t>
            </w:r>
          </w:p>
        </w:tc>
        <w:tc>
          <w:tcPr>
            <w:tcW w:w="706" w:type="dxa"/>
            <w:vAlign w:val="center"/>
          </w:tcPr>
          <w:p>
            <w:pPr>
              <w:adjustRightInd w:val="0"/>
              <w:snapToGrid w:val="0"/>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385" w:type="dxa"/>
          </w:tcPr>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【法律】《全国人民代表大会常务委员会关于司法鉴定管理问题的决定》（2015年修正）</w:t>
            </w:r>
          </w:p>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三、国务院司法行政部门主管全国鉴定人和鉴定机构的登记管理工作。省级人民政府司法行政部门依照本决定的规定，负责对鉴定人和鉴定机构的登记、名册编制和公告。</w:t>
            </w:r>
          </w:p>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六、申请从事司法鉴定业务的个人、法人或者其他组织，由省级人民政府司法行政部门审核，对符合条件的予以登记，编入鉴定人和鉴定机构名册并公告。</w:t>
            </w:r>
          </w:p>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省级人民政府司法行政部门应当根据鉴定人或者鉴定机构的增加和撤销登记情况，定期更新所编制的鉴定人和鉴定机构名册并公告。</w:t>
            </w:r>
          </w:p>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【部门规章】《司法鉴定机构登记管理办法》（2005年司法部令95号）</w:t>
            </w:r>
          </w:p>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第三条 本办法所称的司法鉴定机构是指从事《全国人民代表大会常务委员会关于司法鉴定管理问题的决定》第二条规定的司法鉴定业务的法人或者其他组织。</w:t>
            </w:r>
          </w:p>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司法鉴定机构是司法鉴定人的执业机构，应当具备本办法规定的条件，经省级司法行政机关审核登记，取得《司法鉴定许可证》，在登记的司法鉴定业务范围内，开展司法鉴定活动。</w:t>
            </w:r>
          </w:p>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司法鉴定机构在本省(自治区、直辖市)行政区域内设立分支机构的，分支机构应当符合本办法第十四条规定的条件，并经省级司法行政机关审核登记后，方可依法开展司法鉴定活动。</w:t>
            </w:r>
          </w:p>
        </w:tc>
        <w:tc>
          <w:tcPr>
            <w:tcW w:w="914" w:type="dxa"/>
            <w:vAlign w:val="center"/>
          </w:tcPr>
          <w:p>
            <w:pPr>
              <w:adjustRightInd w:val="0"/>
              <w:snapToGrid w:val="0"/>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自治区</w:t>
            </w:r>
          </w:p>
        </w:tc>
        <w:tc>
          <w:tcPr>
            <w:tcW w:w="1575" w:type="dxa"/>
          </w:tcPr>
          <w:p>
            <w:pPr>
              <w:adjustRightInd w:val="0"/>
              <w:snapToGrid w:val="0"/>
              <w:ind w:firstLine="420" w:firstLineChars="200"/>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6" w:hRule="atLeast"/>
          <w:jc w:val="center"/>
        </w:trPr>
        <w:tc>
          <w:tcPr>
            <w:tcW w:w="791" w:type="dxa"/>
            <w:vMerge w:val="restart"/>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6</w:t>
            </w:r>
          </w:p>
        </w:tc>
        <w:tc>
          <w:tcPr>
            <w:tcW w:w="962" w:type="dxa"/>
            <w:vMerge w:val="restart"/>
            <w:vAlign w:val="center"/>
          </w:tcPr>
          <w:p>
            <w:pP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对司法部关于外国律师事务所驻华代表机构及派驻代表的相关事项初审</w:t>
            </w:r>
          </w:p>
        </w:tc>
        <w:tc>
          <w:tcPr>
            <w:tcW w:w="1349" w:type="dxa"/>
            <w:vAlign w:val="center"/>
          </w:tcPr>
          <w:p>
            <w:pPr>
              <w:adjustRightInd w:val="0"/>
              <w:snapToGrid w:val="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外国律师事务所驻华代表机构设立变更注销许可的初审</w:t>
            </w:r>
          </w:p>
        </w:tc>
        <w:tc>
          <w:tcPr>
            <w:tcW w:w="833" w:type="dxa"/>
            <w:vAlign w:val="center"/>
          </w:tcPr>
          <w:p>
            <w:pPr>
              <w:adjustRightInd w:val="0"/>
              <w:snapToGrid w:val="0"/>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01</w:t>
            </w:r>
            <w:r>
              <w:rPr>
                <w:rFonts w:ascii="仿宋_GB2312" w:hAnsi="仿宋_GB2312" w:eastAsia="仿宋_GB2312" w:cs="仿宋_GB2312"/>
                <w:color w:val="auto"/>
                <w:szCs w:val="21"/>
              </w:rPr>
              <w:t>0</w:t>
            </w:r>
            <w:r>
              <w:rPr>
                <w:rFonts w:hint="eastAsia" w:ascii="仿宋_GB2312" w:hAnsi="仿宋_GB2312" w:eastAsia="仿宋_GB2312" w:cs="仿宋_GB2312"/>
                <w:color w:val="auto"/>
                <w:szCs w:val="21"/>
              </w:rPr>
              <w:t>9</w:t>
            </w:r>
            <w:r>
              <w:rPr>
                <w:rFonts w:ascii="仿宋_GB2312" w:hAnsi="仿宋_GB2312" w:eastAsia="仿宋_GB2312" w:cs="仿宋_GB2312"/>
                <w:color w:val="auto"/>
                <w:szCs w:val="21"/>
              </w:rPr>
              <w:t>006001</w:t>
            </w:r>
          </w:p>
        </w:tc>
        <w:tc>
          <w:tcPr>
            <w:tcW w:w="706" w:type="dxa"/>
            <w:vAlign w:val="center"/>
          </w:tcPr>
          <w:p>
            <w:pPr>
              <w:adjustRightInd w:val="0"/>
              <w:snapToGrid w:val="0"/>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385" w:type="dxa"/>
          </w:tcPr>
          <w:p>
            <w:pPr>
              <w:adjustRightInd w:val="0"/>
              <w:snapToGrid w:val="0"/>
              <w:spacing w:line="26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 xml:space="preserve">【行政法规】《外国律师事务所驻华代表机构管理条例》（2001年国务院令第338号） </w:t>
            </w:r>
          </w:p>
          <w:p>
            <w:pPr>
              <w:adjustRightInd w:val="0"/>
              <w:snapToGrid w:val="0"/>
              <w:spacing w:line="26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第六条第一款 外国律师事务所在华设立代表机构、派驻代表，应当经国务院司法行政部门许可。</w:t>
            </w:r>
          </w:p>
          <w:p>
            <w:pPr>
              <w:adjustRightInd w:val="0"/>
              <w:snapToGrid w:val="0"/>
              <w:spacing w:line="26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第八条第一款 外国律师事务所申请在华设立代表机构，应当向拟设立的代表机构住所地的省、自治区、直辖市人民政府司法行政部门提交下列文件材料：……。</w:t>
            </w:r>
          </w:p>
          <w:p>
            <w:pPr>
              <w:adjustRightInd w:val="0"/>
              <w:snapToGrid w:val="0"/>
              <w:spacing w:line="26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第九条 省、自治区、直辖市人民政府司法行政部门应当自收到申请文件材料之日起3个月内审查完毕，并将审查意见连同文件材料报送国务院司法行政部门审核。国务院司法行政部门应当在６个月内作出决定，对许可设立的代表机构发给执业执照，并对其代表发给执业证书；对不予许可的，应当书面告知其理由。</w:t>
            </w:r>
          </w:p>
          <w:p>
            <w:pPr>
              <w:adjustRightInd w:val="0"/>
              <w:snapToGrid w:val="0"/>
              <w:spacing w:line="26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第十二条 外国律师事务所需要变更代表机构名称、减少代表的，应当事先向代表机构住所地的省、自治区、直辖市人民政府司法行政部门提交其主要负责人签署的申请书和有关的文件材料，经国务院司法行政部门核准，并收回不再担任代表的人员的执业证书。</w:t>
            </w:r>
          </w:p>
          <w:p>
            <w:pPr>
              <w:adjustRightInd w:val="0"/>
              <w:snapToGrid w:val="0"/>
              <w:spacing w:line="26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代表机构合并、分立或者增加新任代表的，应当依照本条例有关代表机构设立程序的规定办理许可手续。</w:t>
            </w:r>
          </w:p>
          <w:p>
            <w:pPr>
              <w:adjustRightInd w:val="0"/>
              <w:snapToGrid w:val="0"/>
              <w:spacing w:line="26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第十四条 代表机构有下列情形之一的，由国务院司法行政部门撤销其执业许可并收回其执业执照，由省、自治区、直辖市人民政府司法行政部门相应注销其执业注册：……。</w:t>
            </w:r>
          </w:p>
        </w:tc>
        <w:tc>
          <w:tcPr>
            <w:tcW w:w="914"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自治区</w:t>
            </w:r>
          </w:p>
        </w:tc>
        <w:tc>
          <w:tcPr>
            <w:tcW w:w="1575" w:type="dxa"/>
            <w:vMerge w:val="restart"/>
            <w:vAlign w:val="center"/>
          </w:tcPr>
          <w:p>
            <w:pPr>
              <w:adjustRightInd w:val="0"/>
              <w:snapToGrid w:val="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省、自治区、直辖市人民政府司法行政部门应当自收到申请文件材料之日起3个月内审查完毕,并将审查意见连同文件材料报送国务院司法行政部门审核。国务院司法行政部门应当在6个月内作出决定，对许可设立的代表机构发给执业执照，并对其代表发给执业证书；对不予许可的，应当书面告知其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91" w:type="dxa"/>
            <w:vMerge w:val="continue"/>
          </w:tcPr>
          <w:p>
            <w:pPr>
              <w:jc w:val="left"/>
              <w:rPr>
                <w:rFonts w:ascii="仿宋_GB2312" w:hAnsi="仿宋_GB2312" w:eastAsia="仿宋_GB2312" w:cs="仿宋_GB2312"/>
                <w:color w:val="auto"/>
                <w:szCs w:val="21"/>
              </w:rPr>
            </w:pPr>
          </w:p>
        </w:tc>
        <w:tc>
          <w:tcPr>
            <w:tcW w:w="962" w:type="dxa"/>
            <w:vMerge w:val="continue"/>
            <w:textDirection w:val="tbLrV"/>
            <w:vAlign w:val="center"/>
          </w:tcPr>
          <w:p>
            <w:pPr>
              <w:rPr>
                <w:rFonts w:ascii="仿宋_GB2312" w:hAnsi="仿宋_GB2312" w:eastAsia="仿宋_GB2312" w:cs="仿宋_GB2312"/>
                <w:color w:val="auto"/>
                <w:szCs w:val="21"/>
              </w:rPr>
            </w:pPr>
          </w:p>
        </w:tc>
        <w:tc>
          <w:tcPr>
            <w:tcW w:w="1349" w:type="dxa"/>
            <w:vAlign w:val="center"/>
          </w:tcPr>
          <w:p>
            <w:pPr>
              <w:adjustRightInd w:val="0"/>
              <w:snapToGrid w:val="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外国律师事务所驻华代表机构派驻代表执业、变更许可的初审</w:t>
            </w:r>
          </w:p>
        </w:tc>
        <w:tc>
          <w:tcPr>
            <w:tcW w:w="833" w:type="dxa"/>
            <w:vAlign w:val="center"/>
          </w:tcPr>
          <w:p>
            <w:pPr>
              <w:adjustRightInd w:val="0"/>
              <w:snapToGrid w:val="0"/>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0109006002</w:t>
            </w:r>
          </w:p>
        </w:tc>
        <w:tc>
          <w:tcPr>
            <w:tcW w:w="706" w:type="dxa"/>
            <w:vAlign w:val="center"/>
          </w:tcPr>
          <w:p>
            <w:pPr>
              <w:adjustRightInd w:val="0"/>
              <w:snapToGrid w:val="0"/>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385" w:type="dxa"/>
          </w:tcPr>
          <w:p>
            <w:pPr>
              <w:spacing w:line="260" w:lineRule="exact"/>
              <w:ind w:firstLine="420" w:firstLineChars="20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【行政法规】《外国律师事务所驻华代表机构管理条例》（2001年国务院令第338号）</w:t>
            </w:r>
          </w:p>
          <w:p>
            <w:pPr>
              <w:spacing w:line="260" w:lineRule="exact"/>
              <w:ind w:firstLine="420" w:firstLineChars="20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第六条 外国律师事务所在华设立代表机构、派驻代表，应当经国务院司法行政部门许可。</w:t>
            </w:r>
          </w:p>
          <w:p>
            <w:pPr>
              <w:spacing w:line="260" w:lineRule="exact"/>
              <w:ind w:firstLine="420" w:firstLineChars="20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第九条 省、自治区、直辖市人民政府司法行政部门应当自收到申请文件材料之日起3个月内审查完毕，并将审查意见连同文件材料报送国务院司法行政部门审核。国务院司法行政部门应当在6个月内作出决定，对许可设立的代表机构发给执业执照，并对其代表发给执业证书；对不予许可的，应当书面告知其理由。</w:t>
            </w:r>
          </w:p>
          <w:p>
            <w:pPr>
              <w:adjustRightInd w:val="0"/>
              <w:snapToGrid w:val="0"/>
              <w:spacing w:line="26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第十二条 外国律师事务所需要变更代表机构名称、减少代表的，应当事先向代表机构住所地的省、自治区、直辖市人民政府司法行政部门提交其主要负责人签署的申请书和有关的文件材料，经国务院司法行政部门核准，并收回不再担任代表的人员的执业证书。</w:t>
            </w:r>
          </w:p>
          <w:p>
            <w:pPr>
              <w:adjustRightInd w:val="0"/>
              <w:snapToGrid w:val="0"/>
              <w:spacing w:line="26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代表机构合并、分立或者增加新任代表的，应当依照本条例有关代表机构设立程序的规定办理许可手续。</w:t>
            </w:r>
          </w:p>
        </w:tc>
        <w:tc>
          <w:tcPr>
            <w:tcW w:w="914"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自治区</w:t>
            </w:r>
          </w:p>
        </w:tc>
        <w:tc>
          <w:tcPr>
            <w:tcW w:w="1575" w:type="dxa"/>
            <w:vMerge w:val="continue"/>
          </w:tcPr>
          <w:p>
            <w:pPr>
              <w:jc w:val="left"/>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791"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7</w:t>
            </w:r>
          </w:p>
        </w:tc>
        <w:tc>
          <w:tcPr>
            <w:tcW w:w="962" w:type="dxa"/>
            <w:vAlign w:val="center"/>
          </w:tcPr>
          <w:p>
            <w:pP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基层法律服务工作者执业、变更、注销许可</w:t>
            </w:r>
          </w:p>
        </w:tc>
        <w:tc>
          <w:tcPr>
            <w:tcW w:w="1349" w:type="dxa"/>
          </w:tcPr>
          <w:p>
            <w:pPr>
              <w:ind w:firstLine="420" w:firstLineChars="200"/>
              <w:rPr>
                <w:rFonts w:ascii="仿宋_GB2312" w:hAnsi="仿宋_GB2312" w:eastAsia="仿宋_GB2312" w:cs="仿宋_GB2312"/>
                <w:color w:val="auto"/>
                <w:szCs w:val="21"/>
              </w:rPr>
            </w:pPr>
          </w:p>
        </w:tc>
        <w:tc>
          <w:tcPr>
            <w:tcW w:w="833"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0109007000</w:t>
            </w:r>
          </w:p>
        </w:tc>
        <w:tc>
          <w:tcPr>
            <w:tcW w:w="706"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385" w:type="dxa"/>
          </w:tcPr>
          <w:p>
            <w:pPr>
              <w:spacing w:line="260" w:lineRule="exact"/>
              <w:ind w:firstLine="420" w:firstLineChars="20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【国务院决定】《国务院对确需保留的行政审批项目设定行政许可的决定》（2016年国务院令第671号修改）</w:t>
            </w:r>
          </w:p>
          <w:p>
            <w:pPr>
              <w:spacing w:line="260" w:lineRule="exact"/>
              <w:ind w:firstLine="420" w:firstLineChars="20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第75项 基层法律服务工作者执业核准由省级或其授权的下一级人民政府司法行政主管部门实施。</w:t>
            </w:r>
          </w:p>
          <w:p>
            <w:pPr>
              <w:spacing w:line="260" w:lineRule="exact"/>
              <w:ind w:firstLine="420" w:firstLineChars="20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【国务院决定】《国务院关于第六批取消和调整行政审批项目的决定》（国发〔2012〕52号）</w:t>
            </w:r>
          </w:p>
          <w:p>
            <w:pPr>
              <w:spacing w:line="260" w:lineRule="exact"/>
              <w:ind w:firstLine="420" w:firstLineChars="20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附件2 国务院决定调整的行政审批项目目录（143项）</w:t>
            </w:r>
          </w:p>
          <w:p>
            <w:pPr>
              <w:spacing w:line="260" w:lineRule="exact"/>
              <w:ind w:firstLine="420" w:firstLineChars="20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（一）下放管理层级的行政审批项目（117项）</w:t>
            </w:r>
          </w:p>
          <w:p>
            <w:pPr>
              <w:spacing w:line="260" w:lineRule="exact"/>
              <w:ind w:firstLine="420" w:firstLineChars="20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第10项 基层法律服务工作者执业核准，由省级或其授权的下一级人民政府司法行政部门下放至设区的市级人民政府司法行政部门。</w:t>
            </w:r>
          </w:p>
          <w:p>
            <w:pPr>
              <w:spacing w:line="260" w:lineRule="exact"/>
              <w:ind w:firstLine="420" w:firstLineChars="20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【部门规章】《基层法律服务工作者管理办法》（2000年司法部令第60号）</w:t>
            </w:r>
          </w:p>
          <w:p>
            <w:pPr>
              <w:spacing w:line="260" w:lineRule="exact"/>
              <w:ind w:firstLine="420" w:firstLineChars="20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第十五条 省级司法行政机关或者经其授权的下一级司法行政机关，负责基层法律服务工作者执业登记，颁发《法律服务工作者执业证》。</w:t>
            </w:r>
          </w:p>
        </w:tc>
        <w:tc>
          <w:tcPr>
            <w:tcW w:w="914" w:type="dxa"/>
            <w:vAlign w:val="center"/>
          </w:tcPr>
          <w:p>
            <w:pPr>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设区</w:t>
            </w:r>
          </w:p>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的市</w:t>
            </w:r>
          </w:p>
        </w:tc>
        <w:tc>
          <w:tcPr>
            <w:tcW w:w="1575" w:type="dxa"/>
            <w:vAlign w:val="center"/>
          </w:tcPr>
          <w:p>
            <w:pPr>
              <w:jc w:val="both"/>
              <w:rPr>
                <w:rFonts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受理、审核，颁发执业证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jc w:val="center"/>
        </w:trPr>
        <w:tc>
          <w:tcPr>
            <w:tcW w:w="791" w:type="dxa"/>
            <w:vMerge w:val="restart"/>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8</w:t>
            </w:r>
          </w:p>
        </w:tc>
        <w:tc>
          <w:tcPr>
            <w:tcW w:w="962" w:type="dxa"/>
            <w:vMerge w:val="restart"/>
            <w:vAlign w:val="center"/>
          </w:tcPr>
          <w:p>
            <w:pPr>
              <w:spacing w:line="27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对法律职业资格认定</w:t>
            </w:r>
          </w:p>
        </w:tc>
        <w:tc>
          <w:tcPr>
            <w:tcW w:w="1349" w:type="dxa"/>
            <w:vMerge w:val="restart"/>
            <w:vAlign w:val="center"/>
          </w:tcPr>
          <w:p>
            <w:pPr>
              <w:ind w:firstLine="420" w:firstLineChars="200"/>
              <w:rPr>
                <w:rFonts w:ascii="仿宋_GB2312" w:hAnsi="仿宋_GB2312" w:eastAsia="仿宋_GB2312" w:cs="仿宋_GB2312"/>
                <w:color w:val="auto"/>
                <w:szCs w:val="21"/>
              </w:rPr>
            </w:pPr>
          </w:p>
        </w:tc>
        <w:tc>
          <w:tcPr>
            <w:tcW w:w="833" w:type="dxa"/>
            <w:vMerge w:val="restart"/>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0109008000</w:t>
            </w:r>
          </w:p>
        </w:tc>
        <w:tc>
          <w:tcPr>
            <w:tcW w:w="706" w:type="dxa"/>
            <w:vMerge w:val="restart"/>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自治区司法厅</w:t>
            </w:r>
          </w:p>
        </w:tc>
        <w:tc>
          <w:tcPr>
            <w:tcW w:w="7385" w:type="dxa"/>
            <w:vMerge w:val="restart"/>
            <w:vAlign w:val="top"/>
          </w:tcPr>
          <w:p>
            <w:pPr>
              <w:spacing w:line="260" w:lineRule="exact"/>
              <w:ind w:firstLine="420" w:firstLineChars="200"/>
              <w:jc w:val="left"/>
              <w:rPr>
                <w:rFonts w:hint="eastAsia" w:ascii="仿宋_GB2312" w:hAnsi="仿宋_GB2312" w:eastAsia="仿宋_GB2312" w:cs="仿宋_GB2312"/>
                <w:color w:val="auto"/>
                <w:szCs w:val="21"/>
              </w:rPr>
            </w:pPr>
          </w:p>
          <w:p>
            <w:pPr>
              <w:spacing w:line="260" w:lineRule="exact"/>
              <w:ind w:firstLine="420" w:firstLineChars="20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【法律】《中华人民共和国律师法》（</w:t>
            </w:r>
            <w:r>
              <w:rPr>
                <w:rFonts w:ascii="仿宋_GB2312" w:hAnsi="仿宋_GB2312" w:eastAsia="仿宋_GB2312" w:cs="仿宋_GB2312"/>
                <w:color w:val="auto"/>
                <w:szCs w:val="21"/>
              </w:rPr>
              <w:t>2017</w:t>
            </w:r>
            <w:r>
              <w:rPr>
                <w:rFonts w:hint="eastAsia" w:ascii="仿宋_GB2312" w:hAnsi="仿宋_GB2312" w:eastAsia="仿宋_GB2312" w:cs="仿宋_GB2312"/>
                <w:color w:val="auto"/>
                <w:szCs w:val="21"/>
              </w:rPr>
              <w:t>年修正）</w:t>
            </w:r>
          </w:p>
          <w:p>
            <w:pPr>
              <w:spacing w:line="260" w:lineRule="exact"/>
              <w:ind w:firstLine="420" w:firstLineChars="20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第五条第一款</w:t>
            </w:r>
            <w:r>
              <w:rPr>
                <w:rFonts w:ascii="仿宋_GB2312" w:hAnsi="仿宋_GB2312" w:eastAsia="仿宋_GB2312" w:cs="仿宋_GB2312"/>
                <w:color w:val="auto"/>
                <w:szCs w:val="21"/>
              </w:rPr>
              <w:t xml:space="preserve"> </w:t>
            </w:r>
            <w:r>
              <w:rPr>
                <w:rFonts w:hint="eastAsia" w:ascii="仿宋_GB2312" w:hAnsi="仿宋_GB2312" w:eastAsia="仿宋_GB2312" w:cs="仿宋_GB2312"/>
                <w:color w:val="auto"/>
                <w:szCs w:val="21"/>
              </w:rPr>
              <w:t>申请律师执业，应当具备下列条件……（二）通过国家统一法律职业资格考试取得法律职业资格；……。</w:t>
            </w:r>
          </w:p>
          <w:p>
            <w:pPr>
              <w:spacing w:line="260" w:lineRule="exact"/>
              <w:ind w:firstLine="420" w:firstLineChars="20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【法律】《中华人民共和国公证法》（</w:t>
            </w:r>
            <w:r>
              <w:rPr>
                <w:rFonts w:ascii="仿宋_GB2312" w:hAnsi="仿宋_GB2312" w:eastAsia="仿宋_GB2312" w:cs="仿宋_GB2312"/>
                <w:color w:val="auto"/>
                <w:szCs w:val="21"/>
              </w:rPr>
              <w:t>2017</w:t>
            </w:r>
            <w:r>
              <w:rPr>
                <w:rFonts w:hint="eastAsia" w:ascii="仿宋_GB2312" w:hAnsi="仿宋_GB2312" w:eastAsia="仿宋_GB2312" w:cs="仿宋_GB2312"/>
                <w:color w:val="auto"/>
                <w:szCs w:val="21"/>
              </w:rPr>
              <w:t>年修正）</w:t>
            </w:r>
          </w:p>
          <w:p>
            <w:pPr>
              <w:spacing w:line="260" w:lineRule="exact"/>
              <w:ind w:firstLine="420" w:firstLineChars="20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第十八条</w:t>
            </w:r>
            <w:r>
              <w:rPr>
                <w:rFonts w:ascii="仿宋_GB2312" w:hAnsi="仿宋_GB2312" w:eastAsia="仿宋_GB2312" w:cs="仿宋_GB2312"/>
                <w:color w:val="auto"/>
                <w:szCs w:val="21"/>
              </w:rPr>
              <w:t xml:space="preserve"> </w:t>
            </w:r>
            <w:r>
              <w:rPr>
                <w:rFonts w:hint="eastAsia" w:ascii="仿宋_GB2312" w:hAnsi="仿宋_GB2312" w:eastAsia="仿宋_GB2312" w:cs="仿宋_GB2312"/>
                <w:color w:val="auto"/>
                <w:szCs w:val="21"/>
              </w:rPr>
              <w:t>担任公证员，应当具备下列条件……（四）通过国家统一法律职业资格考试取得法律职业资格</w:t>
            </w:r>
            <w:r>
              <w:rPr>
                <w:rFonts w:ascii="仿宋_GB2312" w:hAnsi="仿宋_GB2312" w:eastAsia="仿宋_GB2312" w:cs="仿宋_GB2312"/>
                <w:color w:val="auto"/>
                <w:szCs w:val="21"/>
              </w:rPr>
              <w:t>;</w:t>
            </w:r>
            <w:r>
              <w:rPr>
                <w:rFonts w:hint="eastAsia" w:ascii="仿宋_GB2312" w:hAnsi="仿宋_GB2312" w:eastAsia="仿宋_GB2312" w:cs="仿宋_GB2312"/>
                <w:color w:val="auto"/>
                <w:szCs w:val="21"/>
              </w:rPr>
              <w:t>……。</w:t>
            </w:r>
          </w:p>
          <w:p>
            <w:pPr>
              <w:spacing w:line="270" w:lineRule="exact"/>
              <w:ind w:firstLine="420" w:firstLineChars="20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【法律】《中华人民共和国法官法》（</w:t>
            </w:r>
            <w:r>
              <w:rPr>
                <w:rFonts w:ascii="仿宋_GB2312" w:hAnsi="仿宋_GB2312" w:eastAsia="仿宋_GB2312" w:cs="仿宋_GB2312"/>
                <w:color w:val="auto"/>
                <w:szCs w:val="21"/>
              </w:rPr>
              <w:t>201</w:t>
            </w:r>
            <w:r>
              <w:rPr>
                <w:rFonts w:hint="eastAsia" w:ascii="仿宋_GB2312" w:hAnsi="仿宋_GB2312" w:eastAsia="仿宋_GB2312" w:cs="仿宋_GB2312"/>
                <w:color w:val="auto"/>
                <w:szCs w:val="21"/>
                <w:lang w:val="en-US" w:eastAsia="zh-CN"/>
              </w:rPr>
              <w:t>9</w:t>
            </w:r>
            <w:r>
              <w:rPr>
                <w:rFonts w:hint="eastAsia" w:ascii="仿宋_GB2312" w:hAnsi="仿宋_GB2312" w:eastAsia="仿宋_GB2312" w:cs="仿宋_GB2312"/>
                <w:color w:val="auto"/>
                <w:szCs w:val="21"/>
              </w:rPr>
              <w:t>年</w:t>
            </w:r>
            <w:r>
              <w:rPr>
                <w:rFonts w:hint="eastAsia" w:ascii="仿宋_GB2312" w:hAnsi="仿宋_GB2312" w:eastAsia="仿宋_GB2312" w:cs="仿宋_GB2312"/>
                <w:color w:val="auto"/>
                <w:szCs w:val="21"/>
                <w:lang w:val="en-US" w:eastAsia="zh-CN"/>
              </w:rPr>
              <w:t>修订</w:t>
            </w:r>
            <w:r>
              <w:rPr>
                <w:rFonts w:hint="eastAsia" w:ascii="仿宋_GB2312" w:hAnsi="仿宋_GB2312" w:eastAsia="仿宋_GB2312" w:cs="仿宋_GB2312"/>
                <w:color w:val="auto"/>
                <w:szCs w:val="21"/>
              </w:rPr>
              <w:t>）</w:t>
            </w:r>
          </w:p>
          <w:p>
            <w:pPr>
              <w:spacing w:line="260" w:lineRule="exact"/>
              <w:ind w:firstLine="420" w:firstLineChars="200"/>
              <w:jc w:val="left"/>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eastAsia="zh-CN"/>
              </w:rPr>
              <w:t>第十二条第七款</w:t>
            </w:r>
            <w:r>
              <w:rPr>
                <w:rFonts w:hint="eastAsia" w:ascii="仿宋_GB2312" w:hAnsi="仿宋_GB2312" w:eastAsia="仿宋_GB2312" w:cs="仿宋_GB2312"/>
                <w:color w:val="auto"/>
                <w:szCs w:val="21"/>
                <w:lang w:val="en-US" w:eastAsia="zh-CN"/>
              </w:rPr>
              <w:t xml:space="preserve"> 初任法官应当通过国家统一法律职业资格考试取得法律职业资格</w:t>
            </w:r>
          </w:p>
          <w:p>
            <w:pPr>
              <w:spacing w:line="260" w:lineRule="exact"/>
              <w:ind w:firstLine="420" w:firstLineChars="20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w:t>
            </w:r>
            <w:r>
              <w:rPr>
                <w:rFonts w:hint="eastAsia" w:ascii="仿宋_GB2312" w:hAnsi="仿宋_GB2312" w:eastAsia="仿宋_GB2312" w:cs="仿宋_GB2312"/>
                <w:color w:val="auto"/>
                <w:szCs w:val="21"/>
                <w:lang w:eastAsia="zh-CN"/>
              </w:rPr>
              <w:t>六十六</w:t>
            </w:r>
            <w:r>
              <w:rPr>
                <w:rFonts w:hint="eastAsia" w:ascii="仿宋_GB2312" w:hAnsi="仿宋_GB2312" w:eastAsia="仿宋_GB2312" w:cs="仿宋_GB2312"/>
                <w:color w:val="auto"/>
                <w:szCs w:val="21"/>
              </w:rPr>
              <w:t>条</w:t>
            </w:r>
            <w:r>
              <w:rPr>
                <w:rFonts w:ascii="仿宋_GB2312" w:hAnsi="仿宋_GB2312" w:eastAsia="仿宋_GB2312" w:cs="仿宋_GB2312"/>
                <w:color w:val="auto"/>
                <w:szCs w:val="21"/>
              </w:rPr>
              <w:t xml:space="preserve"> </w:t>
            </w:r>
            <w:r>
              <w:rPr>
                <w:rFonts w:hint="eastAsia" w:ascii="仿宋_GB2312" w:hAnsi="仿宋_GB2312" w:eastAsia="仿宋_GB2312" w:cs="仿宋_GB2312"/>
                <w:color w:val="auto"/>
                <w:szCs w:val="21"/>
              </w:rPr>
              <w:t>国家</w:t>
            </w:r>
            <w:r>
              <w:rPr>
                <w:rFonts w:hint="eastAsia" w:ascii="仿宋_GB2312" w:hAnsi="仿宋_GB2312" w:eastAsia="仿宋_GB2312" w:cs="仿宋_GB2312"/>
                <w:color w:val="auto"/>
                <w:szCs w:val="21"/>
                <w:lang w:val="en-US" w:eastAsia="zh-CN"/>
              </w:rPr>
              <w:t xml:space="preserve">  </w:t>
            </w:r>
            <w:r>
              <w:rPr>
                <w:rFonts w:hint="eastAsia" w:ascii="仿宋_GB2312" w:hAnsi="仿宋_GB2312" w:eastAsia="仿宋_GB2312" w:cs="仿宋_GB2312"/>
                <w:color w:val="auto"/>
                <w:szCs w:val="21"/>
              </w:rPr>
              <w:t>对初任法官实行统一法律职业资格考试制度，由国务院司法行政部门商最高人民法院等有关部门组织实施。</w:t>
            </w:r>
          </w:p>
          <w:p>
            <w:pPr>
              <w:spacing w:line="270" w:lineRule="exact"/>
              <w:ind w:firstLine="420" w:firstLineChars="20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【法律】《中华人民共和国检察官法》（</w:t>
            </w:r>
            <w:r>
              <w:rPr>
                <w:rFonts w:ascii="仿宋_GB2312" w:hAnsi="仿宋_GB2312" w:eastAsia="仿宋_GB2312" w:cs="仿宋_GB2312"/>
                <w:color w:val="auto"/>
                <w:szCs w:val="21"/>
              </w:rPr>
              <w:t>201</w:t>
            </w:r>
            <w:r>
              <w:rPr>
                <w:rFonts w:hint="eastAsia" w:ascii="仿宋_GB2312" w:hAnsi="仿宋_GB2312" w:eastAsia="仿宋_GB2312" w:cs="仿宋_GB2312"/>
                <w:color w:val="auto"/>
                <w:szCs w:val="21"/>
                <w:lang w:val="en-US" w:eastAsia="zh-CN"/>
              </w:rPr>
              <w:t>9</w:t>
            </w:r>
            <w:r>
              <w:rPr>
                <w:rFonts w:hint="eastAsia" w:ascii="仿宋_GB2312" w:hAnsi="仿宋_GB2312" w:eastAsia="仿宋_GB2312" w:cs="仿宋_GB2312"/>
                <w:color w:val="auto"/>
                <w:szCs w:val="21"/>
              </w:rPr>
              <w:t>年</w:t>
            </w:r>
            <w:r>
              <w:rPr>
                <w:rFonts w:hint="eastAsia" w:ascii="仿宋_GB2312" w:hAnsi="仿宋_GB2312" w:eastAsia="仿宋_GB2312" w:cs="仿宋_GB2312"/>
                <w:color w:val="auto"/>
                <w:szCs w:val="21"/>
                <w:lang w:val="en-US" w:eastAsia="zh-CN"/>
              </w:rPr>
              <w:t>修订</w:t>
            </w:r>
            <w:r>
              <w:rPr>
                <w:rFonts w:hint="eastAsia" w:ascii="仿宋_GB2312" w:hAnsi="仿宋_GB2312" w:eastAsia="仿宋_GB2312" w:cs="仿宋_GB2312"/>
                <w:color w:val="auto"/>
                <w:szCs w:val="21"/>
              </w:rPr>
              <w:t>）</w:t>
            </w:r>
          </w:p>
          <w:p>
            <w:pPr>
              <w:spacing w:line="260" w:lineRule="exact"/>
              <w:ind w:firstLine="420" w:firstLineChars="20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第十二条第七款</w:t>
            </w:r>
            <w:r>
              <w:rPr>
                <w:rFonts w:hint="eastAsia" w:ascii="仿宋_GB2312" w:hAnsi="仿宋_GB2312" w:eastAsia="仿宋_GB2312" w:cs="仿宋_GB2312"/>
                <w:color w:val="auto"/>
                <w:szCs w:val="21"/>
                <w:lang w:val="en-US" w:eastAsia="zh-CN"/>
              </w:rPr>
              <w:t xml:space="preserve"> 初任检察官应当通过国家统一法律职业资格考试取得法律职业资格</w:t>
            </w:r>
          </w:p>
          <w:p>
            <w:pPr>
              <w:spacing w:line="260" w:lineRule="exact"/>
              <w:ind w:firstLine="420" w:firstLineChars="20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w:t>
            </w:r>
            <w:r>
              <w:rPr>
                <w:rFonts w:hint="eastAsia" w:ascii="仿宋_GB2312" w:hAnsi="仿宋_GB2312" w:eastAsia="仿宋_GB2312" w:cs="仿宋_GB2312"/>
                <w:color w:val="auto"/>
                <w:szCs w:val="21"/>
                <w:lang w:eastAsia="zh-CN"/>
              </w:rPr>
              <w:t>六十七</w:t>
            </w:r>
            <w:r>
              <w:rPr>
                <w:rFonts w:hint="eastAsia" w:ascii="仿宋_GB2312" w:hAnsi="仿宋_GB2312" w:eastAsia="仿宋_GB2312" w:cs="仿宋_GB2312"/>
                <w:color w:val="auto"/>
                <w:szCs w:val="21"/>
              </w:rPr>
              <w:t>条</w:t>
            </w:r>
            <w:r>
              <w:rPr>
                <w:rFonts w:hint="eastAsia" w:ascii="仿宋_GB2312" w:hAnsi="仿宋_GB2312" w:eastAsia="仿宋_GB2312" w:cs="仿宋_GB2312"/>
                <w:color w:val="auto"/>
                <w:szCs w:val="21"/>
                <w:lang w:val="en-US" w:eastAsia="zh-CN"/>
              </w:rPr>
              <w:t xml:space="preserve"> </w:t>
            </w:r>
            <w:r>
              <w:rPr>
                <w:rFonts w:hint="eastAsia" w:ascii="仿宋_GB2312" w:hAnsi="仿宋_GB2312" w:eastAsia="仿宋_GB2312" w:cs="仿宋_GB2312"/>
                <w:color w:val="auto"/>
                <w:szCs w:val="21"/>
              </w:rPr>
              <w:t>国家对初任检察官实行统一法律职业资格考试制度，由国务院司法行政部门商最高人民检察院等有关部门组织实施。</w:t>
            </w:r>
          </w:p>
          <w:p>
            <w:pPr>
              <w:spacing w:line="260" w:lineRule="exact"/>
              <w:ind w:firstLine="420" w:firstLineChars="20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【部门规章】《法律职业资格证书管理办法》（</w:t>
            </w:r>
            <w:r>
              <w:rPr>
                <w:rFonts w:ascii="仿宋_GB2312" w:hAnsi="仿宋_GB2312" w:eastAsia="仿宋_GB2312" w:cs="仿宋_GB2312"/>
                <w:color w:val="auto"/>
                <w:szCs w:val="21"/>
              </w:rPr>
              <w:t>2002</w:t>
            </w:r>
            <w:r>
              <w:rPr>
                <w:rFonts w:hint="eastAsia" w:ascii="仿宋_GB2312" w:hAnsi="仿宋_GB2312" w:eastAsia="仿宋_GB2312" w:cs="仿宋_GB2312"/>
                <w:color w:val="auto"/>
                <w:szCs w:val="21"/>
              </w:rPr>
              <w:t>年司法部令第</w:t>
            </w:r>
            <w:r>
              <w:rPr>
                <w:rFonts w:ascii="仿宋_GB2312" w:hAnsi="仿宋_GB2312" w:eastAsia="仿宋_GB2312" w:cs="仿宋_GB2312"/>
                <w:color w:val="auto"/>
                <w:szCs w:val="21"/>
              </w:rPr>
              <w:t>74</w:t>
            </w:r>
            <w:r>
              <w:rPr>
                <w:rFonts w:hint="eastAsia" w:ascii="仿宋_GB2312" w:hAnsi="仿宋_GB2312" w:eastAsia="仿宋_GB2312" w:cs="仿宋_GB2312"/>
                <w:color w:val="auto"/>
                <w:szCs w:val="21"/>
              </w:rPr>
              <w:t>号）</w:t>
            </w:r>
          </w:p>
          <w:p>
            <w:pPr>
              <w:spacing w:line="260" w:lineRule="exact"/>
              <w:ind w:firstLine="420" w:firstLineChars="20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第三条</w:t>
            </w:r>
            <w:r>
              <w:rPr>
                <w:rFonts w:ascii="仿宋_GB2312" w:hAnsi="仿宋_GB2312" w:eastAsia="仿宋_GB2312" w:cs="仿宋_GB2312"/>
                <w:color w:val="auto"/>
                <w:szCs w:val="21"/>
              </w:rPr>
              <w:t xml:space="preserve"> </w:t>
            </w:r>
            <w:r>
              <w:rPr>
                <w:rFonts w:hint="eastAsia" w:ascii="仿宋_GB2312" w:hAnsi="仿宋_GB2312" w:eastAsia="仿宋_GB2312" w:cs="仿宋_GB2312"/>
                <w:color w:val="auto"/>
                <w:szCs w:val="21"/>
              </w:rPr>
              <w:t>符合《国家司法考试实施办法（试行）》第十三条规定，经国家司法考试，取得合格成绩的人员，可以向司法行政机关申领法律职业资格证书。</w:t>
            </w:r>
          </w:p>
          <w:p>
            <w:pPr>
              <w:spacing w:line="260" w:lineRule="exact"/>
              <w:ind w:firstLine="420" w:firstLineChars="20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第四条第一款</w:t>
            </w:r>
            <w:r>
              <w:rPr>
                <w:rFonts w:ascii="仿宋_GB2312" w:hAnsi="仿宋_GB2312" w:eastAsia="仿宋_GB2312" w:cs="仿宋_GB2312"/>
                <w:color w:val="auto"/>
                <w:szCs w:val="21"/>
              </w:rPr>
              <w:t xml:space="preserve"> </w:t>
            </w:r>
            <w:r>
              <w:rPr>
                <w:rFonts w:hint="eastAsia" w:ascii="仿宋_GB2312" w:hAnsi="仿宋_GB2312" w:eastAsia="仿宋_GB2312" w:cs="仿宋_GB2312"/>
                <w:color w:val="auto"/>
                <w:szCs w:val="21"/>
              </w:rPr>
              <w:t>法律职业资格证书由司法部统一制作、颁发。</w:t>
            </w:r>
          </w:p>
          <w:p>
            <w:pPr>
              <w:spacing w:line="260" w:lineRule="exact"/>
              <w:ind w:firstLine="420" w:firstLineChars="20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第二款</w:t>
            </w:r>
            <w:r>
              <w:rPr>
                <w:rFonts w:ascii="仿宋_GB2312" w:hAnsi="仿宋_GB2312" w:eastAsia="仿宋_GB2312" w:cs="仿宋_GB2312"/>
                <w:color w:val="auto"/>
                <w:szCs w:val="21"/>
              </w:rPr>
              <w:t xml:space="preserve"> </w:t>
            </w:r>
            <w:r>
              <w:rPr>
                <w:rFonts w:hint="eastAsia" w:ascii="仿宋_GB2312" w:hAnsi="仿宋_GB2312" w:eastAsia="仿宋_GB2312" w:cs="仿宋_GB2312"/>
                <w:color w:val="auto"/>
                <w:szCs w:val="21"/>
              </w:rPr>
              <w:t>省、自治区、直辖市司法厅（局）负责本省（区、市）法律职业资格证书申请材料的复审、报批和证书的发放。</w:t>
            </w:r>
          </w:p>
          <w:p>
            <w:pPr>
              <w:spacing w:line="260" w:lineRule="exact"/>
              <w:ind w:firstLine="420" w:firstLineChars="200"/>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第三款</w:t>
            </w:r>
            <w:r>
              <w:rPr>
                <w:rFonts w:ascii="仿宋_GB2312" w:hAnsi="仿宋_GB2312" w:eastAsia="仿宋_GB2312" w:cs="仿宋_GB2312"/>
                <w:color w:val="auto"/>
                <w:szCs w:val="21"/>
              </w:rPr>
              <w:t xml:space="preserve"> </w:t>
            </w:r>
            <w:r>
              <w:rPr>
                <w:rFonts w:hint="eastAsia" w:ascii="仿宋_GB2312" w:hAnsi="仿宋_GB2312" w:eastAsia="仿宋_GB2312" w:cs="仿宋_GB2312"/>
                <w:color w:val="auto"/>
                <w:szCs w:val="21"/>
              </w:rPr>
              <w:t>地（市）司法局负责本地区法律职业资格证书申请材料的受理、初审、报送及证书的发放。</w:t>
            </w:r>
          </w:p>
          <w:p>
            <w:pPr>
              <w:spacing w:line="260" w:lineRule="exact"/>
              <w:ind w:firstLine="420" w:firstLineChars="20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【部门规章】《国家统一法律职业资格考试办法》（</w:t>
            </w:r>
            <w:r>
              <w:rPr>
                <w:rFonts w:hint="eastAsia" w:ascii="仿宋_GB2312" w:hAnsi="仿宋_GB2312" w:eastAsia="仿宋_GB2312" w:cs="仿宋_GB2312"/>
                <w:color w:val="auto"/>
                <w:szCs w:val="21"/>
                <w:lang w:val="en-US" w:eastAsia="zh-CN"/>
              </w:rPr>
              <w:t>2018年</w:t>
            </w:r>
            <w:r>
              <w:rPr>
                <w:rFonts w:hint="eastAsia" w:ascii="仿宋_GB2312" w:hAnsi="仿宋_GB2312" w:eastAsia="仿宋_GB2312" w:cs="仿宋_GB2312"/>
                <w:color w:val="auto"/>
                <w:szCs w:val="21"/>
                <w:lang w:eastAsia="zh-CN"/>
              </w:rPr>
              <w:t>司法部令第</w:t>
            </w:r>
            <w:r>
              <w:rPr>
                <w:rFonts w:hint="eastAsia" w:ascii="仿宋_GB2312" w:hAnsi="仿宋_GB2312" w:eastAsia="仿宋_GB2312" w:cs="仿宋_GB2312"/>
                <w:color w:val="auto"/>
                <w:szCs w:val="21"/>
                <w:lang w:val="en-US" w:eastAsia="zh-CN"/>
              </w:rPr>
              <w:t>140号）</w:t>
            </w:r>
            <w:r>
              <w:rPr>
                <w:rFonts w:hint="eastAsia" w:ascii="仿宋_GB2312" w:hAnsi="仿宋_GB2312" w:eastAsia="仿宋_GB2312" w:cs="仿宋_GB2312"/>
                <w:color w:val="auto"/>
                <w:szCs w:val="21"/>
                <w:lang w:eastAsia="zh-CN"/>
              </w:rPr>
              <w:t>第二条</w:t>
            </w:r>
            <w:r>
              <w:rPr>
                <w:rFonts w:hint="eastAsia" w:ascii="仿宋_GB2312" w:hAnsi="仿宋_GB2312" w:eastAsia="仿宋_GB2312" w:cs="仿宋_GB2312"/>
                <w:color w:val="auto"/>
                <w:szCs w:val="21"/>
                <w:lang w:val="en-US" w:eastAsia="zh-CN"/>
              </w:rPr>
              <w:t xml:space="preserve"> </w:t>
            </w:r>
            <w:r>
              <w:rPr>
                <w:rFonts w:hint="eastAsia" w:ascii="仿宋_GB2312" w:hAnsi="仿宋_GB2312" w:eastAsia="仿宋_GB2312" w:cs="仿宋_GB2312"/>
                <w:color w:val="auto"/>
                <w:szCs w:val="21"/>
                <w:lang w:eastAsia="zh-CN"/>
              </w:rPr>
              <w:t>初任法官、检察官，申请律师执业、公证员执业和初次担任法律类仲裁员，以及司法行政机关中初次从事行政处罚决定审核、行政复议、行政裁决、法律顾问的公务员，应当通过国家统一法律职业资格考试，取得法律职业资格。</w:t>
            </w:r>
          </w:p>
        </w:tc>
        <w:tc>
          <w:tcPr>
            <w:tcW w:w="914"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vertAlign w:val="baseline"/>
                <w:lang w:val="en-US" w:eastAsia="zh-CN"/>
              </w:rPr>
              <w:t>自治区</w:t>
            </w:r>
          </w:p>
        </w:tc>
        <w:tc>
          <w:tcPr>
            <w:tcW w:w="1575"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法律职业资格证书申请材料的复审、报批和证书的发放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0" w:hRule="atLeast"/>
          <w:jc w:val="center"/>
        </w:trPr>
        <w:tc>
          <w:tcPr>
            <w:tcW w:w="791" w:type="dxa"/>
            <w:vMerge w:val="continue"/>
            <w:vAlign w:val="center"/>
          </w:tcPr>
          <w:p>
            <w:pPr>
              <w:jc w:val="center"/>
              <w:rPr>
                <w:rFonts w:ascii="仿宋_GB2312" w:hAnsi="仿宋_GB2312" w:eastAsia="仿宋_GB2312" w:cs="仿宋_GB2312"/>
                <w:color w:val="auto"/>
                <w:szCs w:val="21"/>
              </w:rPr>
            </w:pPr>
          </w:p>
        </w:tc>
        <w:tc>
          <w:tcPr>
            <w:tcW w:w="962" w:type="dxa"/>
            <w:vMerge w:val="continue"/>
            <w:vAlign w:val="center"/>
          </w:tcPr>
          <w:p>
            <w:pPr>
              <w:jc w:val="left"/>
              <w:rPr>
                <w:rFonts w:ascii="仿宋_GB2312" w:hAnsi="仿宋_GB2312" w:eastAsia="仿宋_GB2312" w:cs="仿宋_GB2312"/>
                <w:color w:val="auto"/>
                <w:szCs w:val="21"/>
              </w:rPr>
            </w:pPr>
          </w:p>
        </w:tc>
        <w:tc>
          <w:tcPr>
            <w:tcW w:w="1349" w:type="dxa"/>
            <w:vMerge w:val="continue"/>
            <w:vAlign w:val="center"/>
          </w:tcPr>
          <w:p>
            <w:pPr>
              <w:jc w:val="left"/>
              <w:rPr>
                <w:rFonts w:ascii="仿宋_GB2312" w:hAnsi="仿宋_GB2312" w:eastAsia="仿宋_GB2312" w:cs="仿宋_GB2312"/>
                <w:color w:val="auto"/>
                <w:szCs w:val="21"/>
              </w:rPr>
            </w:pPr>
          </w:p>
        </w:tc>
        <w:tc>
          <w:tcPr>
            <w:tcW w:w="833" w:type="dxa"/>
            <w:vMerge w:val="continue"/>
            <w:vAlign w:val="center"/>
          </w:tcPr>
          <w:p>
            <w:pPr>
              <w:jc w:val="left"/>
              <w:rPr>
                <w:rFonts w:ascii="仿宋_GB2312" w:hAnsi="仿宋_GB2312" w:eastAsia="仿宋_GB2312" w:cs="仿宋_GB2312"/>
                <w:color w:val="auto"/>
                <w:szCs w:val="21"/>
              </w:rPr>
            </w:pPr>
          </w:p>
        </w:tc>
        <w:tc>
          <w:tcPr>
            <w:tcW w:w="706" w:type="dxa"/>
            <w:vMerge w:val="continue"/>
            <w:vAlign w:val="center"/>
          </w:tcPr>
          <w:p>
            <w:pPr>
              <w:jc w:val="left"/>
              <w:rPr>
                <w:rFonts w:ascii="仿宋_GB2312" w:hAnsi="仿宋_GB2312" w:eastAsia="仿宋_GB2312" w:cs="仿宋_GB2312"/>
                <w:color w:val="auto"/>
                <w:szCs w:val="21"/>
              </w:rPr>
            </w:pPr>
          </w:p>
        </w:tc>
        <w:tc>
          <w:tcPr>
            <w:tcW w:w="7385" w:type="dxa"/>
            <w:vMerge w:val="continue"/>
            <w:vAlign w:val="top"/>
          </w:tcPr>
          <w:p>
            <w:pPr>
              <w:jc w:val="left"/>
              <w:rPr>
                <w:rFonts w:ascii="仿宋_GB2312" w:hAnsi="仿宋_GB2312" w:eastAsia="仿宋_GB2312" w:cs="仿宋_GB2312"/>
                <w:color w:val="auto"/>
                <w:szCs w:val="21"/>
              </w:rPr>
            </w:pPr>
          </w:p>
        </w:tc>
        <w:tc>
          <w:tcPr>
            <w:tcW w:w="914" w:type="dxa"/>
            <w:vAlign w:val="center"/>
          </w:tcPr>
          <w:p>
            <w:pPr>
              <w:jc w:val="center"/>
              <w:rPr>
                <w:rFonts w:hint="eastAsia" w:ascii="仿宋_GB2312" w:hAnsi="仿宋_GB2312" w:eastAsia="仿宋_GB2312" w:cs="仿宋_GB2312"/>
                <w:color w:val="auto"/>
                <w:vertAlign w:val="baseline"/>
                <w:lang w:val="en-US" w:eastAsia="zh-CN"/>
              </w:rPr>
            </w:pPr>
            <w:r>
              <w:rPr>
                <w:rFonts w:hint="eastAsia" w:ascii="仿宋_GB2312" w:hAnsi="仿宋_GB2312" w:eastAsia="仿宋_GB2312" w:cs="仿宋_GB2312"/>
                <w:color w:val="auto"/>
                <w:vertAlign w:val="baseline"/>
                <w:lang w:val="en-US" w:eastAsia="zh-CN"/>
              </w:rPr>
              <w:t>设区</w:t>
            </w:r>
          </w:p>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vertAlign w:val="baseline"/>
                <w:lang w:val="en-US" w:eastAsia="zh-CN"/>
              </w:rPr>
              <w:t>的市</w:t>
            </w:r>
          </w:p>
        </w:tc>
        <w:tc>
          <w:tcPr>
            <w:tcW w:w="1575"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法律职业资格证书申请材料的受理、初审、报送及证书的发放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5" w:hRule="atLeast"/>
          <w:jc w:val="center"/>
        </w:trPr>
        <w:tc>
          <w:tcPr>
            <w:tcW w:w="791"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9</w:t>
            </w:r>
          </w:p>
        </w:tc>
        <w:tc>
          <w:tcPr>
            <w:tcW w:w="962" w:type="dxa"/>
            <w:vAlign w:val="center"/>
          </w:tcPr>
          <w:p>
            <w:pPr>
              <w:rPr>
                <w:rFonts w:ascii="仿宋_GB2312" w:hAnsi="仿宋_GB2312" w:eastAsia="仿宋_GB2312" w:cs="仿宋_GB2312"/>
                <w:color w:val="auto"/>
                <w:szCs w:val="21"/>
              </w:rPr>
            </w:pPr>
            <w:r>
              <w:rPr>
                <w:rFonts w:hint="eastAsia" w:ascii="仿宋_GB2312" w:hAnsi="仿宋_GB2312" w:eastAsia="仿宋_GB2312" w:cs="仿宋_GB2312"/>
                <w:color w:val="auto"/>
                <w:szCs w:val="21"/>
                <w:shd w:val="clear" w:color="auto" w:fill="FFFFFF"/>
              </w:rPr>
              <w:t>仲裁委员会设立、变更、注销登记</w:t>
            </w:r>
          </w:p>
        </w:tc>
        <w:tc>
          <w:tcPr>
            <w:tcW w:w="1349" w:type="dxa"/>
            <w:vAlign w:val="center"/>
          </w:tcPr>
          <w:p>
            <w:pPr>
              <w:rPr>
                <w:rFonts w:ascii="仿宋_GB2312" w:hAnsi="仿宋_GB2312" w:eastAsia="仿宋_GB2312" w:cs="仿宋_GB2312"/>
                <w:color w:val="auto"/>
                <w:szCs w:val="21"/>
              </w:rPr>
            </w:pPr>
          </w:p>
        </w:tc>
        <w:tc>
          <w:tcPr>
            <w:tcW w:w="833"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0109009000</w:t>
            </w:r>
          </w:p>
        </w:tc>
        <w:tc>
          <w:tcPr>
            <w:tcW w:w="706"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385" w:type="dxa"/>
          </w:tcPr>
          <w:p>
            <w:pPr>
              <w:spacing w:line="270" w:lineRule="exact"/>
              <w:ind w:firstLine="420" w:firstLineChars="200"/>
              <w:jc w:val="left"/>
              <w:rPr>
                <w:rFonts w:hint="eastAsia" w:ascii="仿宋_GB2312" w:hAnsi="仿宋_GB2312" w:eastAsia="仿宋_GB2312" w:cs="仿宋_GB2312"/>
                <w:color w:val="auto"/>
                <w:szCs w:val="21"/>
                <w:shd w:val="clear" w:color="auto" w:fill="FFFFFF"/>
              </w:rPr>
            </w:pPr>
          </w:p>
          <w:p>
            <w:pPr>
              <w:spacing w:line="270" w:lineRule="exact"/>
              <w:ind w:firstLine="420" w:firstLineChars="200"/>
              <w:jc w:val="left"/>
              <w:rPr>
                <w:rFonts w:hint="eastAsia" w:ascii="仿宋_GB2312" w:hAnsi="仿宋_GB2312" w:eastAsia="仿宋_GB2312" w:cs="仿宋_GB2312"/>
                <w:color w:val="auto"/>
                <w:szCs w:val="21"/>
                <w:shd w:val="clear" w:color="auto" w:fill="FFFFFF"/>
              </w:rPr>
            </w:pPr>
          </w:p>
          <w:p>
            <w:pPr>
              <w:spacing w:line="270" w:lineRule="exact"/>
              <w:ind w:firstLine="420" w:firstLineChars="200"/>
              <w:jc w:val="left"/>
              <w:rPr>
                <w:rFonts w:hint="eastAsia" w:ascii="仿宋_GB2312" w:hAnsi="仿宋_GB2312" w:eastAsia="仿宋_GB2312" w:cs="仿宋_GB2312"/>
                <w:color w:val="auto"/>
                <w:szCs w:val="21"/>
                <w:shd w:val="clear" w:color="auto" w:fill="FFFFFF"/>
              </w:rPr>
            </w:pPr>
          </w:p>
          <w:p>
            <w:pPr>
              <w:spacing w:line="270" w:lineRule="exact"/>
              <w:ind w:firstLine="420" w:firstLineChars="200"/>
              <w:jc w:val="left"/>
              <w:rPr>
                <w:rFonts w:hint="eastAsia" w:ascii="仿宋_GB2312" w:hAnsi="仿宋_GB2312" w:eastAsia="仿宋_GB2312" w:cs="仿宋_GB2312"/>
                <w:color w:val="auto"/>
                <w:szCs w:val="21"/>
                <w:shd w:val="clear" w:color="auto" w:fill="FFFFFF"/>
              </w:rPr>
            </w:pPr>
          </w:p>
          <w:p>
            <w:pPr>
              <w:spacing w:line="270" w:lineRule="exact"/>
              <w:ind w:firstLine="420" w:firstLineChars="200"/>
              <w:jc w:val="left"/>
              <w:rPr>
                <w:rFonts w:ascii="仿宋_GB2312" w:hAnsi="仿宋_GB2312" w:eastAsia="仿宋_GB2312" w:cs="仿宋_GB2312"/>
                <w:color w:val="auto"/>
                <w:szCs w:val="21"/>
                <w:shd w:val="clear" w:color="auto" w:fill="FFFFFF"/>
              </w:rPr>
            </w:pPr>
            <w:r>
              <w:rPr>
                <w:rFonts w:hint="eastAsia" w:ascii="仿宋_GB2312" w:hAnsi="仿宋_GB2312" w:eastAsia="仿宋_GB2312" w:cs="仿宋_GB2312"/>
                <w:color w:val="auto"/>
                <w:szCs w:val="21"/>
                <w:shd w:val="clear" w:color="auto" w:fill="FFFFFF"/>
              </w:rPr>
              <w:t>【法律】《中华人民共和国仲裁法》(2017年修正)</w:t>
            </w:r>
          </w:p>
          <w:p>
            <w:pPr>
              <w:spacing w:line="270" w:lineRule="exact"/>
              <w:ind w:firstLine="420" w:firstLineChars="200"/>
              <w:jc w:val="left"/>
              <w:rPr>
                <w:rFonts w:ascii="仿宋_GB2312" w:hAnsi="仿宋_GB2312" w:eastAsia="仿宋_GB2312" w:cs="仿宋_GB2312"/>
                <w:color w:val="auto"/>
                <w:szCs w:val="21"/>
                <w:shd w:val="clear" w:color="auto" w:fill="FFFFFF"/>
              </w:rPr>
            </w:pPr>
            <w:r>
              <w:rPr>
                <w:rFonts w:hint="eastAsia" w:ascii="仿宋_GB2312" w:hAnsi="仿宋_GB2312" w:eastAsia="仿宋_GB2312" w:cs="仿宋_GB2312"/>
                <w:color w:val="auto"/>
                <w:szCs w:val="21"/>
                <w:shd w:val="clear" w:color="auto" w:fill="FFFFFF"/>
              </w:rPr>
              <w:t>第十条第一款 仲裁委员会可以在直辖市和省、自治区人民政府所在地的市设立，也可以根据需要在其他设区的市设立，不按行政区划层层设立。</w:t>
            </w:r>
          </w:p>
          <w:p>
            <w:pPr>
              <w:spacing w:line="270" w:lineRule="exact"/>
              <w:ind w:firstLine="420" w:firstLineChars="200"/>
              <w:jc w:val="left"/>
              <w:rPr>
                <w:rFonts w:ascii="仿宋_GB2312" w:hAnsi="仿宋_GB2312" w:eastAsia="仿宋_GB2312" w:cs="仿宋_GB2312"/>
                <w:color w:val="auto"/>
                <w:szCs w:val="21"/>
                <w:shd w:val="clear" w:color="auto" w:fill="FFFFFF"/>
              </w:rPr>
            </w:pPr>
            <w:r>
              <w:rPr>
                <w:rFonts w:hint="eastAsia" w:ascii="仿宋_GB2312" w:hAnsi="仿宋_GB2312" w:eastAsia="仿宋_GB2312" w:cs="仿宋_GB2312"/>
                <w:color w:val="auto"/>
                <w:szCs w:val="21"/>
                <w:shd w:val="clear" w:color="auto" w:fill="FFFFFF"/>
              </w:rPr>
              <w:t>第三款 设立仲裁委员会，应当经省、自治区、直辖市的司法行政部门登记。</w:t>
            </w:r>
          </w:p>
          <w:p>
            <w:pPr>
              <w:spacing w:line="270" w:lineRule="exact"/>
              <w:ind w:firstLine="420" w:firstLineChars="200"/>
              <w:jc w:val="left"/>
              <w:rPr>
                <w:rFonts w:ascii="仿宋_GB2312" w:hAnsi="仿宋_GB2312" w:eastAsia="仿宋_GB2312" w:cs="仿宋_GB2312"/>
                <w:color w:val="auto"/>
                <w:szCs w:val="21"/>
                <w:shd w:val="clear" w:color="auto" w:fill="FFFFFF"/>
              </w:rPr>
            </w:pPr>
            <w:r>
              <w:rPr>
                <w:rFonts w:hint="eastAsia" w:ascii="仿宋_GB2312" w:hAnsi="仿宋_GB2312" w:eastAsia="仿宋_GB2312" w:cs="仿宋_GB2312"/>
                <w:color w:val="auto"/>
                <w:szCs w:val="21"/>
                <w:shd w:val="clear" w:color="auto" w:fill="FFFFFF"/>
              </w:rPr>
              <w:t>【行政法规】《仲裁委员会登记暂行办法》（国办发（1995）44号）</w:t>
            </w:r>
          </w:p>
          <w:p>
            <w:pPr>
              <w:spacing w:line="270" w:lineRule="exact"/>
              <w:ind w:firstLine="420" w:firstLineChars="200"/>
              <w:jc w:val="left"/>
              <w:rPr>
                <w:rFonts w:ascii="仿宋_GB2312" w:hAnsi="仿宋_GB2312" w:eastAsia="仿宋_GB2312" w:cs="仿宋_GB2312"/>
                <w:color w:val="auto"/>
                <w:szCs w:val="21"/>
                <w:shd w:val="clear" w:color="auto" w:fill="FFFFFF"/>
              </w:rPr>
            </w:pPr>
            <w:r>
              <w:rPr>
                <w:rFonts w:hint="eastAsia" w:ascii="仿宋_GB2312" w:hAnsi="仿宋_GB2312" w:eastAsia="仿宋_GB2312" w:cs="仿宋_GB2312"/>
                <w:color w:val="auto"/>
                <w:szCs w:val="21"/>
                <w:shd w:val="clear" w:color="auto" w:fill="FFFFFF"/>
              </w:rPr>
              <w:t>第五条仲裁委员会变更住所、组成人员，应当在变更后10日内向登记机关备案，并向登记机关提交与变更事项有关的文件。</w:t>
            </w:r>
          </w:p>
          <w:p>
            <w:pPr>
              <w:spacing w:line="270" w:lineRule="exact"/>
              <w:ind w:firstLine="420" w:firstLineChars="20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shd w:val="clear" w:color="auto" w:fill="FFFFFF"/>
              </w:rPr>
              <w:t>第六条第一款 仲裁委员会决议终止的，应当向登记机关办理注销登记。</w:t>
            </w:r>
          </w:p>
        </w:tc>
        <w:tc>
          <w:tcPr>
            <w:tcW w:w="914"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自治区</w:t>
            </w:r>
          </w:p>
        </w:tc>
        <w:tc>
          <w:tcPr>
            <w:tcW w:w="1575" w:type="dxa"/>
            <w:vAlign w:val="center"/>
          </w:tcPr>
          <w:p>
            <w:pPr>
              <w:jc w:val="center"/>
              <w:rPr>
                <w:rFonts w:ascii="仿宋_GB2312" w:hAnsi="仿宋_GB2312" w:eastAsia="仿宋_GB2312" w:cs="仿宋_GB2312"/>
                <w:color w:val="auto"/>
                <w:szCs w:val="21"/>
              </w:rPr>
            </w:pPr>
          </w:p>
        </w:tc>
      </w:tr>
    </w:tbl>
    <w:p>
      <w:pPr>
        <w:widowControl/>
        <w:jc w:val="left"/>
        <w:rPr>
          <w:rFonts w:ascii="仿宋" w:hAnsi="仿宋" w:eastAsia="仿宋" w:cs="仿宋"/>
          <w:b/>
          <w:bCs/>
          <w:color w:val="auto"/>
          <w:sz w:val="18"/>
          <w:szCs w:val="18"/>
        </w:rPr>
      </w:pPr>
      <w:r>
        <w:rPr>
          <w:rFonts w:ascii="仿宋" w:hAnsi="仿宋" w:eastAsia="仿宋" w:cs="仿宋"/>
          <w:b/>
          <w:bCs/>
          <w:color w:val="auto"/>
          <w:sz w:val="18"/>
          <w:szCs w:val="18"/>
        </w:rPr>
        <w:br w:type="page"/>
      </w:r>
    </w:p>
    <w:p>
      <w:pPr>
        <w:jc w:val="center"/>
        <w:rPr>
          <w:rFonts w:ascii="方正小标宋简体" w:hAnsi="方正小标宋简体" w:eastAsia="方正小标宋简体" w:cs="方正小标宋简体"/>
          <w:color w:val="auto"/>
          <w:sz w:val="32"/>
          <w:szCs w:val="32"/>
        </w:rPr>
      </w:pPr>
      <w:r>
        <w:rPr>
          <w:rFonts w:hint="eastAsia" w:ascii="楷体_GB2312" w:eastAsia="楷体_GB2312"/>
          <w:b/>
          <w:bCs/>
          <w:color w:val="auto"/>
          <w:sz w:val="32"/>
          <w:szCs w:val="32"/>
        </w:rPr>
        <w:t>二、行政处罚</w:t>
      </w:r>
    </w:p>
    <w:tbl>
      <w:tblPr>
        <w:tblStyle w:val="21"/>
        <w:tblW w:w="138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619"/>
        <w:gridCol w:w="791"/>
        <w:gridCol w:w="717"/>
        <w:gridCol w:w="7554"/>
        <w:gridCol w:w="910"/>
        <w:gridCol w:w="1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 w:hRule="atLeast"/>
          <w:tblHeader/>
        </w:trPr>
        <w:tc>
          <w:tcPr>
            <w:tcW w:w="704" w:type="dxa"/>
            <w:vAlign w:val="center"/>
          </w:tcPr>
          <w:p>
            <w:pPr>
              <w:jc w:val="center"/>
              <w:rPr>
                <w:rFonts w:hint="eastAsia" w:ascii="仿宋_GB2312" w:eastAsia="仿宋_GB2312" w:cs="仿宋_GB2312"/>
                <w:b/>
                <w:bCs/>
                <w:color w:val="auto"/>
                <w:szCs w:val="21"/>
              </w:rPr>
            </w:pPr>
            <w:r>
              <w:rPr>
                <w:rFonts w:hint="eastAsia" w:ascii="仿宋_GB2312" w:hAnsi="仿宋_GB2312" w:eastAsia="仿宋_GB2312" w:cs="仿宋_GB2312"/>
                <w:b/>
                <w:bCs/>
                <w:color w:val="auto"/>
                <w:szCs w:val="21"/>
              </w:rPr>
              <w:t>序号</w:t>
            </w:r>
          </w:p>
        </w:tc>
        <w:tc>
          <w:tcPr>
            <w:tcW w:w="1619" w:type="dxa"/>
            <w:vAlign w:val="center"/>
          </w:tcPr>
          <w:p>
            <w:pPr>
              <w:jc w:val="center"/>
              <w:rPr>
                <w:rFonts w:hint="eastAsia" w:ascii="仿宋_GB2312" w:eastAsia="仿宋_GB2312" w:cs="仿宋_GB2312"/>
                <w:b/>
                <w:bCs/>
                <w:color w:val="auto"/>
                <w:szCs w:val="21"/>
              </w:rPr>
            </w:pPr>
            <w:r>
              <w:rPr>
                <w:rFonts w:hint="eastAsia" w:ascii="仿宋_GB2312" w:hAnsi="仿宋_GB2312" w:eastAsia="仿宋_GB2312" w:cs="仿宋_GB2312"/>
                <w:b/>
                <w:bCs/>
                <w:color w:val="auto"/>
                <w:szCs w:val="21"/>
              </w:rPr>
              <w:t>职权</w:t>
            </w:r>
          </w:p>
          <w:p>
            <w:pPr>
              <w:jc w:val="center"/>
              <w:rPr>
                <w:rFonts w:hint="eastAsia" w:ascii="仿宋_GB2312" w:eastAsia="仿宋_GB2312" w:cs="仿宋_GB2312"/>
                <w:b/>
                <w:bCs/>
                <w:color w:val="auto"/>
                <w:szCs w:val="21"/>
              </w:rPr>
            </w:pPr>
            <w:r>
              <w:rPr>
                <w:rFonts w:hint="eastAsia" w:ascii="仿宋_GB2312" w:hAnsi="仿宋_GB2312" w:eastAsia="仿宋_GB2312" w:cs="仿宋_GB2312"/>
                <w:b/>
                <w:bCs/>
                <w:color w:val="auto"/>
                <w:szCs w:val="21"/>
              </w:rPr>
              <w:t>名称</w:t>
            </w:r>
          </w:p>
        </w:tc>
        <w:tc>
          <w:tcPr>
            <w:tcW w:w="791" w:type="dxa"/>
            <w:vAlign w:val="center"/>
          </w:tcPr>
          <w:p>
            <w:pPr>
              <w:jc w:val="center"/>
              <w:rPr>
                <w:rFonts w:hint="eastAsia" w:ascii="仿宋_GB2312" w:eastAsia="仿宋_GB2312" w:cs="仿宋_GB2312"/>
                <w:b/>
                <w:bCs/>
                <w:color w:val="auto"/>
                <w:szCs w:val="21"/>
              </w:rPr>
            </w:pPr>
            <w:r>
              <w:rPr>
                <w:rFonts w:hint="eastAsia" w:ascii="仿宋_GB2312" w:hAnsi="仿宋_GB2312" w:eastAsia="仿宋_GB2312" w:cs="仿宋_GB2312"/>
                <w:b/>
                <w:bCs/>
                <w:color w:val="auto"/>
                <w:szCs w:val="21"/>
              </w:rPr>
              <w:t>基本编码</w:t>
            </w:r>
          </w:p>
        </w:tc>
        <w:tc>
          <w:tcPr>
            <w:tcW w:w="717" w:type="dxa"/>
            <w:vAlign w:val="center"/>
          </w:tcPr>
          <w:p>
            <w:pPr>
              <w:jc w:val="center"/>
              <w:rPr>
                <w:rFonts w:hint="eastAsia" w:ascii="仿宋_GB2312" w:eastAsia="仿宋_GB2312" w:cs="仿宋_GB2312"/>
                <w:b/>
                <w:bCs/>
                <w:color w:val="auto"/>
                <w:szCs w:val="21"/>
              </w:rPr>
            </w:pPr>
            <w:r>
              <w:rPr>
                <w:rFonts w:hint="eastAsia" w:ascii="仿宋_GB2312" w:hAnsi="仿宋_GB2312" w:eastAsia="仿宋_GB2312" w:cs="仿宋_GB2312"/>
                <w:b/>
                <w:bCs/>
                <w:color w:val="auto"/>
                <w:szCs w:val="21"/>
              </w:rPr>
              <w:t>实施</w:t>
            </w:r>
          </w:p>
          <w:p>
            <w:pPr>
              <w:jc w:val="center"/>
              <w:rPr>
                <w:rFonts w:hint="eastAsia" w:ascii="仿宋_GB2312" w:eastAsia="仿宋_GB2312" w:cs="仿宋_GB2312"/>
                <w:b/>
                <w:bCs/>
                <w:color w:val="auto"/>
                <w:szCs w:val="21"/>
              </w:rPr>
            </w:pPr>
            <w:r>
              <w:rPr>
                <w:rFonts w:hint="eastAsia" w:ascii="仿宋_GB2312" w:hAnsi="仿宋_GB2312" w:eastAsia="仿宋_GB2312" w:cs="仿宋_GB2312"/>
                <w:b/>
                <w:bCs/>
                <w:color w:val="auto"/>
                <w:szCs w:val="21"/>
              </w:rPr>
              <w:t>部门</w:t>
            </w:r>
          </w:p>
        </w:tc>
        <w:tc>
          <w:tcPr>
            <w:tcW w:w="7554" w:type="dxa"/>
            <w:vAlign w:val="center"/>
          </w:tcPr>
          <w:p>
            <w:pPr>
              <w:spacing w:line="270" w:lineRule="exact"/>
              <w:jc w:val="center"/>
              <w:rPr>
                <w:rFonts w:hint="eastAsia" w:ascii="仿宋_GB2312" w:eastAsia="仿宋_GB2312" w:cs="仿宋_GB2312"/>
                <w:b/>
                <w:bCs/>
                <w:color w:val="auto"/>
                <w:szCs w:val="21"/>
              </w:rPr>
            </w:pPr>
            <w:r>
              <w:rPr>
                <w:rFonts w:hint="eastAsia" w:ascii="仿宋_GB2312" w:hAnsi="仿宋_GB2312" w:eastAsia="仿宋_GB2312" w:cs="仿宋_GB2312"/>
                <w:b/>
                <w:bCs/>
                <w:color w:val="auto"/>
                <w:szCs w:val="21"/>
              </w:rPr>
              <w:t>职权依据</w:t>
            </w:r>
          </w:p>
        </w:tc>
        <w:tc>
          <w:tcPr>
            <w:tcW w:w="910" w:type="dxa"/>
            <w:vAlign w:val="center"/>
          </w:tcPr>
          <w:p>
            <w:pPr>
              <w:jc w:val="center"/>
              <w:rPr>
                <w:rFonts w:hint="eastAsia" w:ascii="仿宋_GB2312" w:eastAsia="仿宋_GB2312" w:cs="仿宋_GB2312"/>
                <w:b/>
                <w:bCs/>
                <w:color w:val="auto"/>
                <w:szCs w:val="21"/>
              </w:rPr>
            </w:pPr>
            <w:r>
              <w:rPr>
                <w:rFonts w:hint="eastAsia" w:ascii="仿宋_GB2312" w:hAnsi="仿宋_GB2312" w:eastAsia="仿宋_GB2312" w:cs="仿宋_GB2312"/>
                <w:b/>
                <w:bCs/>
                <w:color w:val="auto"/>
                <w:szCs w:val="21"/>
              </w:rPr>
              <w:t>行使</w:t>
            </w:r>
          </w:p>
          <w:p>
            <w:pPr>
              <w:jc w:val="center"/>
              <w:rPr>
                <w:rFonts w:hint="eastAsia" w:ascii="仿宋_GB2312" w:eastAsia="仿宋_GB2312" w:cs="仿宋_GB2312"/>
                <w:b/>
                <w:bCs/>
                <w:color w:val="auto"/>
                <w:szCs w:val="21"/>
              </w:rPr>
            </w:pPr>
            <w:r>
              <w:rPr>
                <w:rFonts w:hint="eastAsia" w:ascii="仿宋_GB2312" w:hAnsi="仿宋_GB2312" w:eastAsia="仿宋_GB2312" w:cs="仿宋_GB2312"/>
                <w:b/>
                <w:bCs/>
                <w:color w:val="auto"/>
                <w:szCs w:val="21"/>
              </w:rPr>
              <w:t>层级</w:t>
            </w:r>
          </w:p>
        </w:tc>
        <w:tc>
          <w:tcPr>
            <w:tcW w:w="1567" w:type="dxa"/>
            <w:vAlign w:val="center"/>
          </w:tcPr>
          <w:p>
            <w:pPr>
              <w:jc w:val="center"/>
              <w:rPr>
                <w:rFonts w:hint="eastAsia" w:ascii="仿宋_GB2312" w:eastAsia="仿宋_GB2312" w:cs="仿宋_GB2312"/>
                <w:b/>
                <w:bCs/>
                <w:color w:val="auto"/>
                <w:szCs w:val="21"/>
              </w:rPr>
            </w:pPr>
            <w:r>
              <w:rPr>
                <w:rFonts w:hint="eastAsia" w:ascii="仿宋_GB2312" w:hAnsi="仿宋_GB2312" w:eastAsia="仿宋_GB2312" w:cs="仿宋_GB2312"/>
                <w:b/>
                <w:bCs/>
                <w:color w:val="auto"/>
                <w:szCs w:val="21"/>
              </w:rPr>
              <w:t>行使内容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0" w:hRule="atLeast"/>
        </w:trPr>
        <w:tc>
          <w:tcPr>
            <w:tcW w:w="704" w:type="dxa"/>
            <w:vMerge w:val="restart"/>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1</w:t>
            </w:r>
          </w:p>
        </w:tc>
        <w:tc>
          <w:tcPr>
            <w:tcW w:w="1619" w:type="dxa"/>
            <w:vMerge w:val="restart"/>
            <w:vAlign w:val="center"/>
          </w:tcPr>
          <w:p>
            <w:pPr>
              <w:spacing w:line="270" w:lineRule="exact"/>
              <w:rPr>
                <w:rFonts w:hint="eastAsia" w:ascii="仿宋_GB2312" w:eastAsia="仿宋_GB2312" w:cs="仿宋_GB2312"/>
                <w:color w:val="auto"/>
                <w:szCs w:val="21"/>
              </w:rPr>
            </w:pPr>
            <w:r>
              <w:rPr>
                <w:rFonts w:hint="eastAsia" w:ascii="仿宋_GB2312" w:hAnsi="仿宋_GB2312" w:eastAsia="仿宋_GB2312" w:cs="仿宋_GB2312"/>
                <w:color w:val="auto"/>
                <w:szCs w:val="21"/>
              </w:rPr>
              <w:t>对违反规定会见法官、检察官、仲裁员以及其他有关工作人员，或者以其他不正当方式影响依法办理案件等行为的处罚</w:t>
            </w:r>
          </w:p>
        </w:tc>
        <w:tc>
          <w:tcPr>
            <w:tcW w:w="791" w:type="dxa"/>
            <w:vMerge w:val="restart"/>
            <w:vAlign w:val="center"/>
          </w:tcPr>
          <w:p>
            <w:pPr>
              <w:adjustRightInd w:val="0"/>
              <w:snapToGrid w:val="0"/>
              <w:rPr>
                <w:rFonts w:hint="eastAsia" w:ascii="仿宋_GB2312" w:eastAsia="仿宋_GB2312" w:cs="仿宋_GB2312"/>
                <w:color w:val="auto"/>
                <w:szCs w:val="21"/>
              </w:rPr>
            </w:pPr>
            <w:r>
              <w:rPr>
                <w:rFonts w:hint="eastAsia" w:ascii="仿宋_GB2312" w:eastAsia="仿宋_GB2312" w:cs="仿宋_GB2312"/>
                <w:color w:val="auto"/>
                <w:szCs w:val="21"/>
              </w:rPr>
              <w:t>0209001000</w:t>
            </w:r>
          </w:p>
        </w:tc>
        <w:tc>
          <w:tcPr>
            <w:tcW w:w="717" w:type="dxa"/>
            <w:vMerge w:val="restart"/>
            <w:vAlign w:val="center"/>
          </w:tcPr>
          <w:p>
            <w:pPr>
              <w:adjustRightInd w:val="0"/>
              <w:snapToGrid w:val="0"/>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554" w:type="dxa"/>
            <w:vMerge w:val="restart"/>
            <w:vAlign w:val="center"/>
          </w:tcPr>
          <w:p>
            <w:pPr>
              <w:adjustRightInd w:val="0"/>
              <w:snapToGrid w:val="0"/>
              <w:spacing w:line="27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【法律】《中华人民共和国律师法》（2017年修正）</w:t>
            </w:r>
            <w:r>
              <w:rPr>
                <w:rFonts w:hint="eastAsia" w:ascii="仿宋_GB2312" w:eastAsia="仿宋_GB2312" w:cs="仿宋_GB2312"/>
                <w:color w:val="auto"/>
                <w:szCs w:val="21"/>
              </w:rPr>
              <w:t> </w:t>
            </w:r>
          </w:p>
          <w:p>
            <w:pPr>
              <w:adjustRightInd w:val="0"/>
              <w:snapToGrid w:val="0"/>
              <w:spacing w:line="27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第四十九条　律师有下列行为之一的，由设区的市级或者直辖市的区人民政府司法行政部门给予停止执业六个月以上一年以下的处罚，可以处五万元以下的罚款；有违法所得的，没收违法所得；情节严重的，由省、自治区、直辖市人民政府司法行政部门吊销其律师执业证书；构成犯罪的，依法追究刑事责任：（一）违反规定会见法官、检察官、仲裁员以及其他有关工作人员，或者以其他不正当方式影响依法办理案件的；</w:t>
            </w:r>
            <w:r>
              <w:rPr>
                <w:rFonts w:hint="eastAsia" w:ascii="仿宋_GB2312" w:eastAsia="仿宋_GB2312" w:cs="仿宋_GB2312"/>
                <w:color w:val="auto"/>
                <w:szCs w:val="21"/>
              </w:rPr>
              <w:t> </w:t>
            </w:r>
            <w:r>
              <w:rPr>
                <w:rFonts w:hint="eastAsia" w:ascii="仿宋_GB2312" w:hAnsi="仿宋_GB2312" w:eastAsia="仿宋_GB2312" w:cs="仿宋_GB2312"/>
                <w:color w:val="auto"/>
                <w:szCs w:val="21"/>
              </w:rPr>
              <w:t>（二）向法官、检察官、仲裁员以及其他有关工作人员行贿，介绍贿赂或者指使、诱导当事人行贿的；（三）向司法行政部门提供虚假材料或者有其他弄虚作假行为的；（四）故意提供虚假证据或者威胁、利诱他人提供虚假证据，妨碍对方当事人合法取得证据的；（五）接受对方当事人财物或者其他利益，与对方当事人或者第三人恶意串通，侵害委托人权益的；（六）扰乱法庭、仲裁庭秩序，干扰诉讼、仲裁活动的正常进行的；</w:t>
            </w:r>
            <w:r>
              <w:rPr>
                <w:rFonts w:hint="eastAsia" w:ascii="仿宋_GB2312" w:eastAsia="仿宋_GB2312" w:cs="仿宋_GB2312"/>
                <w:color w:val="auto"/>
                <w:szCs w:val="21"/>
              </w:rPr>
              <w:t> </w:t>
            </w:r>
            <w:r>
              <w:rPr>
                <w:rFonts w:hint="eastAsia" w:ascii="仿宋_GB2312" w:hAnsi="仿宋_GB2312" w:eastAsia="仿宋_GB2312" w:cs="仿宋_GB2312"/>
                <w:color w:val="auto"/>
                <w:szCs w:val="21"/>
              </w:rPr>
              <w:t>（七）煽动、教唆当事人采取扰乱公共秩序、危害公共安全等非法手段解决争议的；（八）发表危害国家安全、恶意诽谤他人、严重扰乱法庭秩序的言论的；（九）泄露国家秘密的。</w:t>
            </w:r>
          </w:p>
          <w:p>
            <w:pPr>
              <w:adjustRightInd w:val="0"/>
              <w:snapToGrid w:val="0"/>
              <w:spacing w:line="27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律师因故意犯罪受到刑事处罚的，由省、自治区、直辖市人民政府司法行政部门吊销其律师执业证书。</w:t>
            </w:r>
          </w:p>
        </w:tc>
        <w:tc>
          <w:tcPr>
            <w:tcW w:w="910" w:type="dxa"/>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自治区</w:t>
            </w:r>
          </w:p>
        </w:tc>
        <w:tc>
          <w:tcPr>
            <w:tcW w:w="1567" w:type="dxa"/>
            <w:vAlign w:val="center"/>
          </w:tcPr>
          <w:p>
            <w:pPr>
              <w:spacing w:line="270" w:lineRule="exact"/>
              <w:rPr>
                <w:rFonts w:hint="eastAsia" w:ascii="仿宋_GB2312" w:eastAsia="仿宋_GB2312" w:cs="仿宋_GB2312"/>
                <w:color w:val="auto"/>
                <w:szCs w:val="21"/>
              </w:rPr>
            </w:pPr>
            <w:r>
              <w:rPr>
                <w:rFonts w:hint="eastAsia" w:ascii="仿宋_GB2312" w:hAnsi="仿宋_GB2312" w:eastAsia="仿宋_GB2312" w:cs="仿宋_GB2312"/>
                <w:color w:val="auto"/>
                <w:szCs w:val="21"/>
              </w:rPr>
              <w:t>吊销律师执业证书。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0" w:hRule="atLeast"/>
        </w:trPr>
        <w:tc>
          <w:tcPr>
            <w:tcW w:w="704" w:type="dxa"/>
            <w:vMerge w:val="continue"/>
            <w:vAlign w:val="center"/>
          </w:tcPr>
          <w:p>
            <w:pPr>
              <w:jc w:val="left"/>
              <w:rPr>
                <w:rFonts w:hint="eastAsia" w:ascii="仿宋_GB2312" w:eastAsia="仿宋_GB2312"/>
                <w:color w:val="auto"/>
              </w:rPr>
            </w:pPr>
          </w:p>
        </w:tc>
        <w:tc>
          <w:tcPr>
            <w:tcW w:w="1619" w:type="dxa"/>
            <w:vMerge w:val="continue"/>
            <w:vAlign w:val="center"/>
          </w:tcPr>
          <w:p>
            <w:pPr>
              <w:jc w:val="left"/>
              <w:rPr>
                <w:rFonts w:hint="eastAsia" w:ascii="仿宋_GB2312" w:eastAsia="仿宋_GB2312"/>
                <w:color w:val="auto"/>
              </w:rPr>
            </w:pPr>
          </w:p>
        </w:tc>
        <w:tc>
          <w:tcPr>
            <w:tcW w:w="791" w:type="dxa"/>
            <w:vMerge w:val="continue"/>
            <w:vAlign w:val="center"/>
          </w:tcPr>
          <w:p>
            <w:pPr>
              <w:rPr>
                <w:rFonts w:hint="eastAsia" w:ascii="仿宋_GB2312" w:eastAsia="仿宋_GB2312"/>
                <w:color w:val="auto"/>
              </w:rPr>
            </w:pPr>
          </w:p>
        </w:tc>
        <w:tc>
          <w:tcPr>
            <w:tcW w:w="717" w:type="dxa"/>
            <w:vMerge w:val="continue"/>
            <w:vAlign w:val="center"/>
          </w:tcPr>
          <w:p>
            <w:pPr>
              <w:jc w:val="left"/>
              <w:rPr>
                <w:rFonts w:hint="eastAsia" w:ascii="仿宋_GB2312" w:eastAsia="仿宋_GB2312"/>
                <w:color w:val="auto"/>
              </w:rPr>
            </w:pPr>
          </w:p>
        </w:tc>
        <w:tc>
          <w:tcPr>
            <w:tcW w:w="7554" w:type="dxa"/>
            <w:vMerge w:val="continue"/>
            <w:vAlign w:val="center"/>
          </w:tcPr>
          <w:p>
            <w:pPr>
              <w:rPr>
                <w:rFonts w:hint="eastAsia" w:ascii="仿宋_GB2312" w:eastAsia="仿宋_GB2312"/>
                <w:color w:val="auto"/>
              </w:rPr>
            </w:pPr>
          </w:p>
        </w:tc>
        <w:tc>
          <w:tcPr>
            <w:tcW w:w="910" w:type="dxa"/>
            <w:vAlign w:val="center"/>
          </w:tcPr>
          <w:p>
            <w:pPr>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设区</w:t>
            </w:r>
          </w:p>
          <w:p>
            <w:pPr>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的市</w:t>
            </w:r>
          </w:p>
        </w:tc>
        <w:tc>
          <w:tcPr>
            <w:tcW w:w="1567" w:type="dxa"/>
            <w:vAlign w:val="center"/>
          </w:tcPr>
          <w:p>
            <w:pPr>
              <w:spacing w:line="270" w:lineRule="exact"/>
              <w:jc w:val="left"/>
              <w:rPr>
                <w:rFonts w:hint="eastAsia" w:ascii="仿宋_GB2312" w:eastAsia="仿宋_GB2312" w:cs="仿宋_GB2312"/>
                <w:color w:val="auto"/>
                <w:szCs w:val="21"/>
              </w:rPr>
            </w:pPr>
            <w:r>
              <w:rPr>
                <w:rFonts w:hint="eastAsia" w:ascii="仿宋_GB2312" w:hAnsi="仿宋_GB2312" w:eastAsia="仿宋_GB2312" w:cs="仿宋_GB2312"/>
                <w:color w:val="auto"/>
                <w:szCs w:val="21"/>
              </w:rPr>
              <w:t>给予停止执业六个月以上一年以下的处罚，可以处五万元以下的罚款；有违法所得的，没收违法所得。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0" w:hRule="atLeast"/>
        </w:trPr>
        <w:tc>
          <w:tcPr>
            <w:tcW w:w="704" w:type="dxa"/>
            <w:vMerge w:val="restart"/>
            <w:vAlign w:val="center"/>
          </w:tcPr>
          <w:p>
            <w:pPr>
              <w:ind w:left="113" w:right="113"/>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2</w:t>
            </w:r>
          </w:p>
        </w:tc>
        <w:tc>
          <w:tcPr>
            <w:tcW w:w="1619" w:type="dxa"/>
            <w:vMerge w:val="restart"/>
            <w:vAlign w:val="center"/>
          </w:tcPr>
          <w:p>
            <w:pPr>
              <w:adjustRightInd w:val="0"/>
              <w:snapToGrid w:val="0"/>
              <w:rPr>
                <w:rFonts w:hint="eastAsia" w:ascii="仿宋_GB2312" w:eastAsia="仿宋_GB2312" w:cs="仿宋_GB2312"/>
                <w:color w:val="auto"/>
                <w:szCs w:val="21"/>
              </w:rPr>
            </w:pPr>
            <w:r>
              <w:rPr>
                <w:rFonts w:hint="eastAsia" w:ascii="仿宋_GB2312" w:hAnsi="仿宋_GB2312" w:eastAsia="仿宋_GB2312" w:cs="仿宋_GB2312"/>
                <w:color w:val="auto"/>
                <w:szCs w:val="21"/>
              </w:rPr>
              <w:t>对违反规定接受委托、收取费用、违反法定程序办理变更名称、负责人、章程、合伙协议、住所、合伙人等重大事项等行为的处罚</w:t>
            </w:r>
          </w:p>
        </w:tc>
        <w:tc>
          <w:tcPr>
            <w:tcW w:w="791" w:type="dxa"/>
            <w:vMerge w:val="restart"/>
            <w:vAlign w:val="center"/>
          </w:tcPr>
          <w:p>
            <w:pPr>
              <w:adjustRightInd w:val="0"/>
              <w:snapToGrid w:val="0"/>
              <w:rPr>
                <w:rFonts w:hint="eastAsia" w:ascii="仿宋_GB2312" w:eastAsia="仿宋_GB2312" w:cs="仿宋_GB2312"/>
                <w:color w:val="auto"/>
                <w:szCs w:val="21"/>
              </w:rPr>
            </w:pPr>
            <w:r>
              <w:rPr>
                <w:rFonts w:hint="eastAsia" w:ascii="仿宋_GB2312" w:eastAsia="仿宋_GB2312" w:cs="仿宋_GB2312"/>
                <w:color w:val="auto"/>
                <w:szCs w:val="21"/>
              </w:rPr>
              <w:t>0209002000</w:t>
            </w:r>
          </w:p>
        </w:tc>
        <w:tc>
          <w:tcPr>
            <w:tcW w:w="717" w:type="dxa"/>
            <w:vMerge w:val="restart"/>
            <w:vAlign w:val="center"/>
          </w:tcPr>
          <w:p>
            <w:pPr>
              <w:adjustRightInd w:val="0"/>
              <w:snapToGrid w:val="0"/>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554" w:type="dxa"/>
            <w:vMerge w:val="restart"/>
            <w:vAlign w:val="center"/>
          </w:tcPr>
          <w:p>
            <w:pPr>
              <w:adjustRightInd w:val="0"/>
              <w:snapToGrid w:val="0"/>
              <w:spacing w:line="27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【法律】《中华人民共和国律师法》（2017年修正）</w:t>
            </w:r>
          </w:p>
          <w:p>
            <w:pPr>
              <w:adjustRightInd w:val="0"/>
              <w:snapToGrid w:val="0"/>
              <w:spacing w:line="27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第五十条　律师事务所有下列行为之一的，由设区的市级或者直辖市的区人民政府司法行政部门视其情节给予警告、停业整顿一个月以上六个月以下的处罚，可以处十万元以下的罚款；有违法所得的，没收违法所得；情节特别严重的，由省、自治区、直辖市人民政府司法行政部门吊销律师事务所执业证书：（一）违反规定接受委托、收取费用的；</w:t>
            </w:r>
            <w:r>
              <w:rPr>
                <w:rFonts w:hint="eastAsia" w:ascii="仿宋_GB2312" w:eastAsia="仿宋_GB2312" w:cs="仿宋_GB2312"/>
                <w:color w:val="auto"/>
                <w:szCs w:val="21"/>
              </w:rPr>
              <w:t> </w:t>
            </w:r>
            <w:r>
              <w:rPr>
                <w:rFonts w:hint="eastAsia" w:ascii="仿宋_GB2312" w:hAnsi="仿宋_GB2312" w:eastAsia="仿宋_GB2312" w:cs="仿宋_GB2312"/>
                <w:color w:val="auto"/>
                <w:szCs w:val="21"/>
              </w:rPr>
              <w:t>（二）违反法定程序办理变更名称、负责人、章程、合伙协议、住所、合伙人等重大事项的；（三）从事法律服务以外的经营活动的；（四）以诋毁其他律师事务所、律师或者支付介绍费等不正当手段承揽业务的；（五）违反规定接受有利益冲突的案件的；（六）拒绝履行法律援助义务的；（七）向司法行政部门提供虚假材料或者有其他弄虚作假行为的；（八）对本所律师疏于管理，造成严重后果的。</w:t>
            </w:r>
          </w:p>
          <w:p>
            <w:pPr>
              <w:adjustRightInd w:val="0"/>
              <w:snapToGrid w:val="0"/>
              <w:spacing w:line="27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律师事务所因前款违法行为受到处罚的，对其负责人视情节轻重，给予警告或者处二万元以下的罚款。</w:t>
            </w:r>
          </w:p>
        </w:tc>
        <w:tc>
          <w:tcPr>
            <w:tcW w:w="910" w:type="dxa"/>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自治区</w:t>
            </w:r>
          </w:p>
        </w:tc>
        <w:tc>
          <w:tcPr>
            <w:tcW w:w="1567" w:type="dxa"/>
            <w:vAlign w:val="center"/>
          </w:tcPr>
          <w:p>
            <w:pPr>
              <w:spacing w:line="270" w:lineRule="exact"/>
              <w:rPr>
                <w:rFonts w:hint="eastAsia" w:ascii="仿宋_GB2312" w:eastAsia="仿宋_GB2312" w:cs="仿宋_GB2312"/>
                <w:color w:val="auto"/>
                <w:szCs w:val="21"/>
              </w:rPr>
            </w:pPr>
            <w:r>
              <w:rPr>
                <w:rFonts w:hint="eastAsia" w:ascii="仿宋_GB2312" w:hAnsi="仿宋_GB2312" w:eastAsia="仿宋_GB2312" w:cs="仿宋_GB2312"/>
                <w:color w:val="auto"/>
                <w:szCs w:val="21"/>
              </w:rPr>
              <w:t>吊销律师事务所执业证书。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0" w:hRule="atLeast"/>
        </w:trPr>
        <w:tc>
          <w:tcPr>
            <w:tcW w:w="704" w:type="dxa"/>
            <w:vMerge w:val="continue"/>
            <w:vAlign w:val="center"/>
          </w:tcPr>
          <w:p>
            <w:pPr>
              <w:jc w:val="left"/>
              <w:rPr>
                <w:rFonts w:hint="eastAsia" w:ascii="仿宋_GB2312" w:eastAsia="仿宋_GB2312"/>
                <w:color w:val="auto"/>
              </w:rPr>
            </w:pPr>
          </w:p>
        </w:tc>
        <w:tc>
          <w:tcPr>
            <w:tcW w:w="1619" w:type="dxa"/>
            <w:vMerge w:val="continue"/>
            <w:vAlign w:val="center"/>
          </w:tcPr>
          <w:p>
            <w:pPr>
              <w:jc w:val="left"/>
              <w:rPr>
                <w:rFonts w:hint="eastAsia" w:ascii="仿宋_GB2312" w:eastAsia="仿宋_GB2312"/>
                <w:color w:val="auto"/>
              </w:rPr>
            </w:pPr>
          </w:p>
        </w:tc>
        <w:tc>
          <w:tcPr>
            <w:tcW w:w="791" w:type="dxa"/>
            <w:vMerge w:val="continue"/>
            <w:vAlign w:val="center"/>
          </w:tcPr>
          <w:p>
            <w:pPr>
              <w:rPr>
                <w:rFonts w:hint="eastAsia" w:ascii="仿宋_GB2312" w:eastAsia="仿宋_GB2312"/>
                <w:color w:val="auto"/>
              </w:rPr>
            </w:pPr>
          </w:p>
        </w:tc>
        <w:tc>
          <w:tcPr>
            <w:tcW w:w="717" w:type="dxa"/>
            <w:vMerge w:val="continue"/>
            <w:vAlign w:val="center"/>
          </w:tcPr>
          <w:p>
            <w:pPr>
              <w:jc w:val="left"/>
              <w:rPr>
                <w:rFonts w:hint="eastAsia" w:ascii="仿宋_GB2312" w:eastAsia="仿宋_GB2312"/>
                <w:color w:val="auto"/>
              </w:rPr>
            </w:pPr>
          </w:p>
        </w:tc>
        <w:tc>
          <w:tcPr>
            <w:tcW w:w="7554" w:type="dxa"/>
            <w:vMerge w:val="continue"/>
            <w:vAlign w:val="center"/>
          </w:tcPr>
          <w:p>
            <w:pPr>
              <w:rPr>
                <w:rFonts w:hint="eastAsia" w:ascii="仿宋_GB2312" w:eastAsia="仿宋_GB2312"/>
                <w:color w:val="auto"/>
              </w:rPr>
            </w:pPr>
          </w:p>
        </w:tc>
        <w:tc>
          <w:tcPr>
            <w:tcW w:w="910" w:type="dxa"/>
            <w:vAlign w:val="center"/>
          </w:tcPr>
          <w:p>
            <w:pPr>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设区</w:t>
            </w:r>
          </w:p>
          <w:p>
            <w:pPr>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的市</w:t>
            </w:r>
          </w:p>
        </w:tc>
        <w:tc>
          <w:tcPr>
            <w:tcW w:w="1567" w:type="dxa"/>
            <w:vAlign w:val="center"/>
          </w:tcPr>
          <w:p>
            <w:pPr>
              <w:spacing w:line="270" w:lineRule="exact"/>
              <w:rPr>
                <w:rFonts w:hint="eastAsia" w:ascii="仿宋_GB2312" w:eastAsia="仿宋_GB2312" w:cs="仿宋_GB2312"/>
                <w:color w:val="auto"/>
                <w:szCs w:val="21"/>
              </w:rPr>
            </w:pPr>
            <w:r>
              <w:rPr>
                <w:rFonts w:hint="eastAsia" w:ascii="仿宋_GB2312" w:hAnsi="仿宋_GB2312" w:eastAsia="仿宋_GB2312" w:cs="仿宋_GB2312"/>
                <w:color w:val="auto"/>
                <w:szCs w:val="21"/>
              </w:rPr>
              <w:t>给予警告、停业整顿一个月以上六个月以下的处罚，可以处十万元以下的罚款；有违法所得的，没收违法所得。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0" w:hRule="atLeast"/>
        </w:trPr>
        <w:tc>
          <w:tcPr>
            <w:tcW w:w="704" w:type="dxa"/>
            <w:vMerge w:val="restart"/>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3</w:t>
            </w:r>
          </w:p>
        </w:tc>
        <w:tc>
          <w:tcPr>
            <w:tcW w:w="1619" w:type="dxa"/>
            <w:vMerge w:val="restart"/>
            <w:vAlign w:val="center"/>
          </w:tcPr>
          <w:p>
            <w:pPr>
              <w:spacing w:line="270" w:lineRule="exact"/>
              <w:rPr>
                <w:rFonts w:hint="eastAsia" w:ascii="仿宋_GB2312" w:eastAsia="仿宋_GB2312" w:cs="仿宋_GB2312"/>
                <w:color w:val="auto"/>
                <w:szCs w:val="21"/>
              </w:rPr>
            </w:pPr>
            <w:r>
              <w:rPr>
                <w:rFonts w:hint="eastAsia" w:ascii="仿宋_GB2312" w:hAnsi="仿宋_GB2312" w:eastAsia="仿宋_GB2312" w:cs="仿宋_GB2312"/>
                <w:color w:val="auto"/>
                <w:szCs w:val="21"/>
              </w:rPr>
              <w:t>对受到处罚后又发生应当处罚情形的律师事务所或律师的处罚</w:t>
            </w:r>
          </w:p>
        </w:tc>
        <w:tc>
          <w:tcPr>
            <w:tcW w:w="791" w:type="dxa"/>
            <w:vMerge w:val="restart"/>
            <w:vAlign w:val="center"/>
          </w:tcPr>
          <w:p>
            <w:pPr>
              <w:adjustRightInd w:val="0"/>
              <w:snapToGrid w:val="0"/>
              <w:rPr>
                <w:rFonts w:hint="eastAsia" w:ascii="仿宋_GB2312" w:eastAsia="仿宋_GB2312" w:cs="仿宋_GB2312"/>
                <w:color w:val="auto"/>
                <w:szCs w:val="21"/>
              </w:rPr>
            </w:pPr>
            <w:r>
              <w:rPr>
                <w:rFonts w:hint="eastAsia" w:ascii="仿宋_GB2312" w:eastAsia="仿宋_GB2312" w:cs="仿宋_GB2312"/>
                <w:color w:val="auto"/>
                <w:szCs w:val="21"/>
              </w:rPr>
              <w:t>0209003000</w:t>
            </w:r>
          </w:p>
        </w:tc>
        <w:tc>
          <w:tcPr>
            <w:tcW w:w="717" w:type="dxa"/>
            <w:vMerge w:val="restart"/>
            <w:vAlign w:val="center"/>
          </w:tcPr>
          <w:p>
            <w:pPr>
              <w:adjustRightInd w:val="0"/>
              <w:snapToGrid w:val="0"/>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554" w:type="dxa"/>
            <w:vMerge w:val="restart"/>
            <w:vAlign w:val="center"/>
          </w:tcPr>
          <w:p>
            <w:pPr>
              <w:adjustRightInd w:val="0"/>
              <w:snapToGrid w:val="0"/>
              <w:spacing w:line="27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【法律】《中华人民共和国律师法》（2017年修正）</w:t>
            </w:r>
          </w:p>
          <w:p>
            <w:pPr>
              <w:adjustRightInd w:val="0"/>
              <w:snapToGrid w:val="0"/>
              <w:spacing w:line="27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第五十一条　律师因违反本法规定，在受到警告处罚后一年内又发生应当给予警告处罚情形的，由设区的市级或者直辖市的区人民政府司法行政部门给予停止执业三个月以上一年以下的处罚；在受到停止执业处罚期满后二年内又发生应当给予停止执业处罚情形的，由省、自治区、直辖市人民政府司法行政部门吊销其律师执业证书。</w:t>
            </w:r>
          </w:p>
          <w:p>
            <w:pPr>
              <w:adjustRightInd w:val="0"/>
              <w:snapToGrid w:val="0"/>
              <w:spacing w:line="27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律师事务所因违反本法规定，在受到停业整顿处罚期满后二年内又发生应当给予停业整顿处罚情形的，由省、自治区、直辖市人民政府司法行政部门吊销律师事务所执业证书。</w:t>
            </w:r>
          </w:p>
        </w:tc>
        <w:tc>
          <w:tcPr>
            <w:tcW w:w="910" w:type="dxa"/>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自治区</w:t>
            </w:r>
          </w:p>
        </w:tc>
        <w:tc>
          <w:tcPr>
            <w:tcW w:w="1567" w:type="dxa"/>
            <w:vAlign w:val="center"/>
          </w:tcPr>
          <w:p>
            <w:pPr>
              <w:spacing w:line="270" w:lineRule="exact"/>
              <w:rPr>
                <w:rFonts w:hint="eastAsia" w:ascii="仿宋_GB2312" w:eastAsia="仿宋_GB2312" w:cs="仿宋_GB2312"/>
                <w:color w:val="auto"/>
                <w:szCs w:val="21"/>
              </w:rPr>
            </w:pPr>
            <w:r>
              <w:rPr>
                <w:rFonts w:hint="eastAsia" w:ascii="仿宋_GB2312" w:hAnsi="仿宋_GB2312" w:eastAsia="仿宋_GB2312" w:cs="仿宋_GB2312"/>
                <w:color w:val="auto"/>
                <w:szCs w:val="21"/>
              </w:rPr>
              <w:t>吊销律师执业证书。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0" w:hRule="atLeast"/>
        </w:trPr>
        <w:tc>
          <w:tcPr>
            <w:tcW w:w="704" w:type="dxa"/>
            <w:vMerge w:val="continue"/>
            <w:vAlign w:val="center"/>
          </w:tcPr>
          <w:p>
            <w:pPr>
              <w:jc w:val="left"/>
              <w:rPr>
                <w:rFonts w:hint="eastAsia" w:ascii="仿宋_GB2312" w:eastAsia="仿宋_GB2312"/>
                <w:color w:val="auto"/>
              </w:rPr>
            </w:pPr>
          </w:p>
        </w:tc>
        <w:tc>
          <w:tcPr>
            <w:tcW w:w="1619" w:type="dxa"/>
            <w:vMerge w:val="continue"/>
            <w:vAlign w:val="center"/>
          </w:tcPr>
          <w:p>
            <w:pPr>
              <w:jc w:val="left"/>
              <w:rPr>
                <w:rFonts w:hint="eastAsia" w:ascii="仿宋_GB2312" w:eastAsia="仿宋_GB2312"/>
                <w:color w:val="auto"/>
              </w:rPr>
            </w:pPr>
          </w:p>
        </w:tc>
        <w:tc>
          <w:tcPr>
            <w:tcW w:w="791" w:type="dxa"/>
            <w:vMerge w:val="continue"/>
            <w:vAlign w:val="center"/>
          </w:tcPr>
          <w:p>
            <w:pPr>
              <w:rPr>
                <w:rFonts w:hint="eastAsia" w:ascii="仿宋_GB2312" w:eastAsia="仿宋_GB2312"/>
                <w:color w:val="auto"/>
              </w:rPr>
            </w:pPr>
          </w:p>
        </w:tc>
        <w:tc>
          <w:tcPr>
            <w:tcW w:w="717" w:type="dxa"/>
            <w:vMerge w:val="continue"/>
            <w:vAlign w:val="center"/>
          </w:tcPr>
          <w:p>
            <w:pPr>
              <w:jc w:val="left"/>
              <w:rPr>
                <w:rFonts w:hint="eastAsia" w:ascii="仿宋_GB2312" w:eastAsia="仿宋_GB2312"/>
                <w:color w:val="auto"/>
              </w:rPr>
            </w:pPr>
          </w:p>
        </w:tc>
        <w:tc>
          <w:tcPr>
            <w:tcW w:w="7554" w:type="dxa"/>
            <w:vMerge w:val="continue"/>
            <w:vAlign w:val="center"/>
          </w:tcPr>
          <w:p>
            <w:pPr>
              <w:rPr>
                <w:rFonts w:hint="eastAsia" w:ascii="仿宋_GB2312" w:eastAsia="仿宋_GB2312"/>
                <w:color w:val="auto"/>
              </w:rPr>
            </w:pPr>
          </w:p>
        </w:tc>
        <w:tc>
          <w:tcPr>
            <w:tcW w:w="910" w:type="dxa"/>
            <w:vAlign w:val="center"/>
          </w:tcPr>
          <w:p>
            <w:pPr>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设区</w:t>
            </w:r>
          </w:p>
          <w:p>
            <w:pPr>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的市</w:t>
            </w:r>
          </w:p>
        </w:tc>
        <w:tc>
          <w:tcPr>
            <w:tcW w:w="1567" w:type="dxa"/>
            <w:vAlign w:val="center"/>
          </w:tcPr>
          <w:p>
            <w:pPr>
              <w:spacing w:line="270" w:lineRule="exact"/>
              <w:rPr>
                <w:rFonts w:hint="eastAsia" w:ascii="仿宋_GB2312" w:eastAsia="仿宋_GB2312" w:cs="仿宋_GB2312"/>
                <w:color w:val="auto"/>
                <w:szCs w:val="21"/>
              </w:rPr>
            </w:pPr>
            <w:r>
              <w:rPr>
                <w:rFonts w:hint="eastAsia" w:ascii="仿宋_GB2312" w:hAnsi="仿宋_GB2312" w:eastAsia="仿宋_GB2312" w:cs="仿宋_GB2312"/>
                <w:color w:val="auto"/>
                <w:szCs w:val="21"/>
              </w:rPr>
              <w:t>给予停止执业三个月以上一年以下的处罚。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3" w:hRule="atLeast"/>
        </w:trPr>
        <w:tc>
          <w:tcPr>
            <w:tcW w:w="704" w:type="dxa"/>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4</w:t>
            </w:r>
          </w:p>
        </w:tc>
        <w:tc>
          <w:tcPr>
            <w:tcW w:w="1619" w:type="dxa"/>
            <w:vAlign w:val="center"/>
          </w:tcPr>
          <w:p>
            <w:pPr>
              <w:adjustRightInd w:val="0"/>
              <w:snapToGrid w:val="0"/>
              <w:rPr>
                <w:rFonts w:hint="eastAsia" w:ascii="仿宋_GB2312" w:eastAsia="仿宋_GB2312" w:cs="仿宋_GB2312"/>
                <w:color w:val="auto"/>
                <w:szCs w:val="21"/>
              </w:rPr>
            </w:pPr>
            <w:r>
              <w:rPr>
                <w:rFonts w:hint="eastAsia" w:ascii="仿宋_GB2312" w:hAnsi="仿宋_GB2312" w:eastAsia="仿宋_GB2312" w:cs="仿宋_GB2312"/>
                <w:color w:val="auto"/>
                <w:szCs w:val="21"/>
              </w:rPr>
              <w:t>对外国律师事务所驻华代表机构或者代表非法从事法律服务活动或者其他营利活动的处罚</w:t>
            </w:r>
          </w:p>
        </w:tc>
        <w:tc>
          <w:tcPr>
            <w:tcW w:w="791" w:type="dxa"/>
            <w:vAlign w:val="center"/>
          </w:tcPr>
          <w:p>
            <w:pPr>
              <w:adjustRightInd w:val="0"/>
              <w:snapToGrid w:val="0"/>
              <w:rPr>
                <w:rFonts w:hint="eastAsia" w:ascii="仿宋_GB2312" w:eastAsia="仿宋_GB2312" w:cs="仿宋_GB2312"/>
                <w:color w:val="auto"/>
                <w:szCs w:val="21"/>
              </w:rPr>
            </w:pPr>
            <w:r>
              <w:rPr>
                <w:rFonts w:hint="eastAsia" w:ascii="仿宋_GB2312" w:eastAsia="仿宋_GB2312" w:cs="仿宋_GB2312"/>
                <w:color w:val="auto"/>
                <w:szCs w:val="21"/>
              </w:rPr>
              <w:t>0209004000</w:t>
            </w:r>
          </w:p>
        </w:tc>
        <w:tc>
          <w:tcPr>
            <w:tcW w:w="717" w:type="dxa"/>
            <w:vAlign w:val="center"/>
          </w:tcPr>
          <w:p>
            <w:pPr>
              <w:adjustRightInd w:val="0"/>
              <w:snapToGrid w:val="0"/>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554" w:type="dxa"/>
            <w:vAlign w:val="center"/>
          </w:tcPr>
          <w:p>
            <w:pPr>
              <w:adjustRightInd w:val="0"/>
              <w:snapToGrid w:val="0"/>
              <w:spacing w:line="27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【行政法规】《外国律师事务所驻华代表机构管理条例》（2001年国务院令第338号）</w:t>
            </w:r>
          </w:p>
          <w:p>
            <w:pPr>
              <w:adjustRightInd w:val="0"/>
              <w:snapToGrid w:val="0"/>
              <w:spacing w:line="27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第十五条　代表机构及其代表，只能从事不包括中国法律事务的下列活动：(一)向当事人提供该外国律师事务所律师已获准从事律师执业业务的国家法律的咨询，以及有关国际条约、国际惯例的咨询；(二)接受当事人或者中国律师事务所的委托，办理在该外国律师事务所律师已获准从事律师执业业务的国家的法律事务；(三)代表外国当事人，委托中国律师事务所办理中国法律事务；(四)通过订立合同与中国律师事务所保持长期的委托关系办理法律事务；(五)提供有关中国法律环境影响的信息。</w:t>
            </w:r>
          </w:p>
          <w:p>
            <w:pPr>
              <w:adjustRightInd w:val="0"/>
              <w:snapToGrid w:val="0"/>
              <w:spacing w:line="27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代表机构按照与中国律师事务所达成的协议约定，可以直接向受委托的中国律师事务所的律师提出要求。</w:t>
            </w:r>
          </w:p>
          <w:p>
            <w:pPr>
              <w:adjustRightInd w:val="0"/>
              <w:snapToGrid w:val="0"/>
              <w:spacing w:line="27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代表机构及其代表不得从事本条第一款、第二款规定以外的其他法律服务活动或者其他营利活动。</w:t>
            </w:r>
          </w:p>
          <w:p>
            <w:pPr>
              <w:adjustRightInd w:val="0"/>
              <w:snapToGrid w:val="0"/>
              <w:spacing w:line="27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第二十五条  代表机构或者代表违反本条例第十五条的规定，非法从事法律服务活动或者其他营利活动的，由省、自治区、直辖市人民政府司法行政部门责令限期停业；情节严重的，由国务院司法行政部门吊销该代表机构的执业执照或者该代表的执业证书。</w:t>
            </w:r>
          </w:p>
          <w:p>
            <w:pPr>
              <w:adjustRightInd w:val="0"/>
              <w:snapToGrid w:val="0"/>
              <w:spacing w:line="27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有前款所列违法行为的，由省、自治区、直辖市人民政府司法行政部门没收违法所得，对首席代表和其他负有直接责任的代表各处5万元以上20万元以下的罚款。</w:t>
            </w:r>
          </w:p>
        </w:tc>
        <w:tc>
          <w:tcPr>
            <w:tcW w:w="910" w:type="dxa"/>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自治区</w:t>
            </w:r>
          </w:p>
        </w:tc>
        <w:tc>
          <w:tcPr>
            <w:tcW w:w="1567" w:type="dxa"/>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责令限期停业、没收违法所得，对首席代表和其他负有直接责任的代表各处5万元以上20万元以下的罚款。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3" w:hRule="atLeast"/>
        </w:trPr>
        <w:tc>
          <w:tcPr>
            <w:tcW w:w="704" w:type="dxa"/>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5</w:t>
            </w:r>
          </w:p>
        </w:tc>
        <w:tc>
          <w:tcPr>
            <w:tcW w:w="1619" w:type="dxa"/>
            <w:vAlign w:val="center"/>
          </w:tcPr>
          <w:p>
            <w:pPr>
              <w:adjustRightInd w:val="0"/>
              <w:snapToGrid w:val="0"/>
              <w:rPr>
                <w:rFonts w:hint="eastAsia" w:ascii="仿宋_GB2312" w:eastAsia="仿宋_GB2312" w:cs="仿宋_GB2312"/>
                <w:color w:val="auto"/>
                <w:szCs w:val="21"/>
              </w:rPr>
            </w:pPr>
            <w:r>
              <w:rPr>
                <w:rFonts w:hint="eastAsia" w:ascii="仿宋_GB2312" w:hAnsi="仿宋_GB2312" w:eastAsia="仿宋_GB2312" w:cs="仿宋_GB2312"/>
                <w:color w:val="auto"/>
                <w:szCs w:val="21"/>
              </w:rPr>
              <w:t>对聘用中国执业律师，或者聘用的辅助人员从事法律服务的等行为的处罚</w:t>
            </w:r>
          </w:p>
        </w:tc>
        <w:tc>
          <w:tcPr>
            <w:tcW w:w="791" w:type="dxa"/>
            <w:vAlign w:val="center"/>
          </w:tcPr>
          <w:p>
            <w:pPr>
              <w:adjustRightInd w:val="0"/>
              <w:snapToGrid w:val="0"/>
              <w:rPr>
                <w:rFonts w:hint="eastAsia" w:ascii="仿宋_GB2312" w:eastAsia="仿宋_GB2312" w:cs="仿宋_GB2312"/>
                <w:color w:val="auto"/>
                <w:szCs w:val="21"/>
              </w:rPr>
            </w:pPr>
            <w:r>
              <w:rPr>
                <w:rFonts w:hint="eastAsia" w:ascii="仿宋_GB2312" w:eastAsia="仿宋_GB2312" w:cs="仿宋_GB2312"/>
                <w:color w:val="auto"/>
                <w:szCs w:val="21"/>
              </w:rPr>
              <w:t>0209005000</w:t>
            </w:r>
          </w:p>
        </w:tc>
        <w:tc>
          <w:tcPr>
            <w:tcW w:w="717" w:type="dxa"/>
            <w:vAlign w:val="center"/>
          </w:tcPr>
          <w:p>
            <w:pPr>
              <w:adjustRightInd w:val="0"/>
              <w:snapToGrid w:val="0"/>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554" w:type="dxa"/>
            <w:vAlign w:val="center"/>
          </w:tcPr>
          <w:p>
            <w:pPr>
              <w:adjustRightInd w:val="0"/>
              <w:snapToGrid w:val="0"/>
              <w:spacing w:line="27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【行政法规】《外国律师事务所驻华代表机构管理条例》（2001年国务院令338号）</w:t>
            </w:r>
          </w:p>
          <w:p>
            <w:pPr>
              <w:adjustRightInd w:val="0"/>
              <w:snapToGrid w:val="0"/>
              <w:spacing w:line="27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第二十六条  代表机构有下列情形之一的，由省、自治区、直辖市人民政府司法行政部门给予警告，责令限期改正；情节严重的，由省、自治区、直辖市人民政府司法行政部门责令限期停业；逾期仍不改正的，由国务院司法行政部门吊销其执业执照：(一)聘用中国执业律师，或者聘用的辅助人员从事法律服务的；(二)开展法律服务收取费用未在中国境内结算的；(三)未按时报送年度检验材料接受年度检验，或者未通过年度检验的。</w:t>
            </w:r>
          </w:p>
          <w:p>
            <w:pPr>
              <w:adjustRightInd w:val="0"/>
              <w:snapToGrid w:val="0"/>
              <w:spacing w:line="27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有前款第(二)项所列违法行为的，由省、自治区、直辖市人民政府司法行政部门对其处以应当在中国境内结算的金额1倍以上3倍以下的罚款。　</w:t>
            </w:r>
          </w:p>
        </w:tc>
        <w:tc>
          <w:tcPr>
            <w:tcW w:w="910" w:type="dxa"/>
            <w:vAlign w:val="center"/>
          </w:tcPr>
          <w:p>
            <w:pPr>
              <w:adjustRightInd w:val="0"/>
              <w:snapToGrid w:val="0"/>
              <w:jc w:val="left"/>
              <w:rPr>
                <w:rFonts w:hint="eastAsia" w:ascii="仿宋_GB2312" w:eastAsia="仿宋_GB2312" w:cs="仿宋_GB2312"/>
                <w:color w:val="auto"/>
                <w:szCs w:val="21"/>
              </w:rPr>
            </w:pPr>
            <w:r>
              <w:rPr>
                <w:rFonts w:hint="eastAsia" w:ascii="仿宋_GB2312" w:hAnsi="仿宋_GB2312" w:eastAsia="仿宋_GB2312" w:cs="仿宋_GB2312"/>
                <w:color w:val="auto"/>
                <w:szCs w:val="21"/>
              </w:rPr>
              <w:t>自治区</w:t>
            </w:r>
          </w:p>
        </w:tc>
        <w:tc>
          <w:tcPr>
            <w:tcW w:w="1567" w:type="dxa"/>
            <w:vAlign w:val="center"/>
          </w:tcPr>
          <w:p>
            <w:pPr>
              <w:rPr>
                <w:rFonts w:hint="eastAsia" w:ascii="仿宋_GB2312" w:eastAsia="仿宋_GB2312" w:cs="仿宋_GB2312"/>
                <w:color w:val="auto"/>
                <w:szCs w:val="21"/>
              </w:rPr>
            </w:pPr>
            <w:r>
              <w:rPr>
                <w:rFonts w:hint="eastAsia" w:ascii="仿宋_GB2312" w:hAnsi="仿宋_GB2312" w:eastAsia="仿宋_GB2312" w:cs="仿宋_GB2312"/>
                <w:color w:val="auto"/>
                <w:szCs w:val="21"/>
              </w:rPr>
              <w:t>给予警告；责令限期停业；处以应当在中国境内结算的金额1倍以上3倍以下的罚款。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5" w:hRule="atLeast"/>
        </w:trPr>
        <w:tc>
          <w:tcPr>
            <w:tcW w:w="704" w:type="dxa"/>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6</w:t>
            </w:r>
          </w:p>
        </w:tc>
        <w:tc>
          <w:tcPr>
            <w:tcW w:w="1619" w:type="dxa"/>
            <w:vAlign w:val="center"/>
          </w:tcPr>
          <w:p>
            <w:pPr>
              <w:rPr>
                <w:rFonts w:hint="eastAsia" w:ascii="仿宋_GB2312" w:eastAsia="仿宋_GB2312" w:cs="仿宋_GB2312"/>
                <w:color w:val="auto"/>
                <w:szCs w:val="21"/>
              </w:rPr>
            </w:pPr>
            <w:r>
              <w:rPr>
                <w:rFonts w:hint="eastAsia" w:ascii="仿宋_GB2312" w:hAnsi="仿宋_GB2312" w:eastAsia="仿宋_GB2312" w:cs="仿宋_GB2312"/>
                <w:color w:val="auto"/>
                <w:szCs w:val="21"/>
              </w:rPr>
              <w:t>对同时在两个以上代表机构担任或者兼任代表的等行为的处罚</w:t>
            </w:r>
          </w:p>
        </w:tc>
        <w:tc>
          <w:tcPr>
            <w:tcW w:w="791" w:type="dxa"/>
            <w:vAlign w:val="center"/>
          </w:tcPr>
          <w:p>
            <w:pPr>
              <w:adjustRightInd w:val="0"/>
              <w:snapToGrid w:val="0"/>
              <w:rPr>
                <w:rFonts w:hint="eastAsia" w:ascii="仿宋_GB2312" w:eastAsia="仿宋_GB2312" w:cs="仿宋_GB2312"/>
                <w:color w:val="auto"/>
                <w:szCs w:val="21"/>
              </w:rPr>
            </w:pPr>
            <w:r>
              <w:rPr>
                <w:rFonts w:hint="eastAsia" w:ascii="仿宋_GB2312" w:eastAsia="仿宋_GB2312" w:cs="仿宋_GB2312"/>
                <w:color w:val="auto"/>
                <w:szCs w:val="21"/>
              </w:rPr>
              <w:t>0209006000</w:t>
            </w:r>
          </w:p>
        </w:tc>
        <w:tc>
          <w:tcPr>
            <w:tcW w:w="717" w:type="dxa"/>
            <w:vAlign w:val="center"/>
          </w:tcPr>
          <w:p>
            <w:pPr>
              <w:adjustRightInd w:val="0"/>
              <w:snapToGrid w:val="0"/>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554" w:type="dxa"/>
            <w:vAlign w:val="center"/>
          </w:tcPr>
          <w:p>
            <w:pPr>
              <w:adjustRightInd w:val="0"/>
              <w:snapToGrid w:val="0"/>
              <w:spacing w:line="26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【行政法规】《外国律师事务所驻华代表机构管理条例》（2001年国务院令338号）</w:t>
            </w:r>
          </w:p>
          <w:p>
            <w:pPr>
              <w:adjustRightInd w:val="0"/>
              <w:snapToGrid w:val="0"/>
              <w:spacing w:line="26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第二十七条　代表机构或者代表有下列情形之一的，由省、自治区、直辖市人民政府司法行政部门给予警告，没收违法所得；情节严重的，责令限期停业，并处2万元以上10万元以下的罚款：(一)同时在两个以上代表机构担任或者兼任代表的；(二)泄露当事人的商业密秘或者个人隐私的；(三)利用法律服务的便利，收受当事人财物或者其他好处的。</w:t>
            </w:r>
          </w:p>
        </w:tc>
        <w:tc>
          <w:tcPr>
            <w:tcW w:w="910" w:type="dxa"/>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自治区</w:t>
            </w:r>
          </w:p>
        </w:tc>
        <w:tc>
          <w:tcPr>
            <w:tcW w:w="1567" w:type="dxa"/>
            <w:vAlign w:val="center"/>
          </w:tcPr>
          <w:p>
            <w:pPr>
              <w:adjustRightInd w:val="0"/>
              <w:snapToGrid w:val="0"/>
              <w:rPr>
                <w:rFonts w:hint="eastAsia" w:ascii="仿宋_GB2312" w:eastAsia="仿宋_GB2312" w:cs="仿宋_GB2312"/>
                <w:color w:val="auto"/>
                <w:szCs w:val="21"/>
              </w:rPr>
            </w:pPr>
            <w:r>
              <w:rPr>
                <w:rFonts w:hint="eastAsia" w:ascii="仿宋_GB2312" w:hAnsi="仿宋_GB2312" w:eastAsia="仿宋_GB2312" w:cs="仿宋_GB2312"/>
                <w:color w:val="auto"/>
                <w:szCs w:val="21"/>
              </w:rPr>
              <w:t>给予警告，没收违法所得；责令限期停业，并处2万元以上10万元以下的罚款。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 w:hRule="atLeast"/>
        </w:trPr>
        <w:tc>
          <w:tcPr>
            <w:tcW w:w="704" w:type="dxa"/>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7</w:t>
            </w:r>
          </w:p>
        </w:tc>
        <w:tc>
          <w:tcPr>
            <w:tcW w:w="1619" w:type="dxa"/>
            <w:vAlign w:val="center"/>
          </w:tcPr>
          <w:p>
            <w:pPr>
              <w:rPr>
                <w:rFonts w:hint="eastAsia" w:ascii="仿宋_GB2312" w:eastAsia="仿宋_GB2312" w:cs="仿宋_GB2312"/>
                <w:color w:val="auto"/>
                <w:szCs w:val="21"/>
              </w:rPr>
            </w:pPr>
            <w:r>
              <w:rPr>
                <w:rFonts w:hint="eastAsia" w:ascii="仿宋_GB2312" w:hAnsi="仿宋_GB2312" w:eastAsia="仿宋_GB2312" w:cs="仿宋_GB2312"/>
                <w:color w:val="auto"/>
                <w:szCs w:val="21"/>
              </w:rPr>
              <w:t>对外国律师事务所驻华代表机构注销，在债务清偿完毕前将财产转移至中国境外行为的处罚</w:t>
            </w:r>
          </w:p>
        </w:tc>
        <w:tc>
          <w:tcPr>
            <w:tcW w:w="791" w:type="dxa"/>
            <w:vAlign w:val="center"/>
          </w:tcPr>
          <w:p>
            <w:pPr>
              <w:rPr>
                <w:rFonts w:hint="eastAsia" w:ascii="仿宋_GB2312" w:eastAsia="仿宋_GB2312" w:cs="仿宋_GB2312"/>
                <w:color w:val="auto"/>
                <w:szCs w:val="21"/>
              </w:rPr>
            </w:pPr>
            <w:r>
              <w:rPr>
                <w:rFonts w:hint="eastAsia" w:ascii="仿宋_GB2312" w:eastAsia="仿宋_GB2312" w:cs="仿宋_GB2312"/>
                <w:color w:val="auto"/>
                <w:szCs w:val="21"/>
              </w:rPr>
              <w:t>0209007000</w:t>
            </w:r>
          </w:p>
        </w:tc>
        <w:tc>
          <w:tcPr>
            <w:tcW w:w="717" w:type="dxa"/>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554" w:type="dxa"/>
            <w:vAlign w:val="center"/>
          </w:tcPr>
          <w:p>
            <w:pPr>
              <w:spacing w:line="26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【行政法规】《外国律师事务所驻华代表机构管理条例》（2001年国务院令338号）</w:t>
            </w:r>
          </w:p>
          <w:p>
            <w:pPr>
              <w:spacing w:line="26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第二十八条　代表机构注销，在债务清偿完毕前将财产转移至中国境外的，由省、自治区、直辖市人民政府司法行政部门责令退回已转移的财产，用于清偿债务；严重损害他人利益的，对其首席代表和其他直接责任人员依照刑法关于藏匿财产罪的规定，依法追究刑事责任；尚不够刑事处罚的，由省、自治区、直辖市人民政府司法行政部门对代表机构处5万元以上30万元以下的罚款，对首席代表和其他直接责任人员各处2万元以上10万元以下的罚款。</w:t>
            </w:r>
          </w:p>
        </w:tc>
        <w:tc>
          <w:tcPr>
            <w:tcW w:w="910" w:type="dxa"/>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自治区</w:t>
            </w:r>
          </w:p>
        </w:tc>
        <w:tc>
          <w:tcPr>
            <w:tcW w:w="1567" w:type="dxa"/>
            <w:vAlign w:val="center"/>
          </w:tcPr>
          <w:p>
            <w:pPr>
              <w:rPr>
                <w:rFonts w:hint="eastAsia" w:ascii="仿宋_GB2312" w:eastAsia="仿宋_GB2312" w:cs="仿宋_GB2312"/>
                <w:color w:val="auto"/>
                <w:szCs w:val="21"/>
              </w:rPr>
            </w:pPr>
            <w:r>
              <w:rPr>
                <w:rFonts w:hint="eastAsia" w:ascii="仿宋_GB2312" w:hAnsi="仿宋_GB2312" w:eastAsia="仿宋_GB2312" w:cs="仿宋_GB2312"/>
                <w:color w:val="auto"/>
                <w:szCs w:val="21"/>
              </w:rPr>
              <w:t>对代表机构处5万元以上30万元以下的罚款，对首席代表和其他直接责任人员各处2万元以上10万元以下的罚款。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6" w:hRule="atLeast"/>
        </w:trPr>
        <w:tc>
          <w:tcPr>
            <w:tcW w:w="704" w:type="dxa"/>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8</w:t>
            </w:r>
          </w:p>
        </w:tc>
        <w:tc>
          <w:tcPr>
            <w:tcW w:w="1619" w:type="dxa"/>
            <w:vAlign w:val="center"/>
          </w:tcPr>
          <w:p>
            <w:pPr>
              <w:spacing w:line="270" w:lineRule="exact"/>
              <w:rPr>
                <w:rFonts w:hint="eastAsia" w:ascii="仿宋_GB2312" w:eastAsia="仿宋_GB2312" w:cs="仿宋_GB2312"/>
                <w:color w:val="auto"/>
                <w:szCs w:val="21"/>
              </w:rPr>
            </w:pPr>
            <w:r>
              <w:rPr>
                <w:rFonts w:hint="eastAsia" w:ascii="仿宋_GB2312" w:hAnsi="仿宋_GB2312" w:eastAsia="仿宋_GB2312" w:cs="仿宋_GB2312"/>
                <w:color w:val="auto"/>
                <w:szCs w:val="21"/>
              </w:rPr>
              <w:t>对外国律师事务所、外国律师或者外国其他组织、个人擅自在内地从事法律服务活动，或者已被撤销执业许可的代表机构或者代表继续在内地从事法律服务活动的处罚</w:t>
            </w:r>
          </w:p>
        </w:tc>
        <w:tc>
          <w:tcPr>
            <w:tcW w:w="791" w:type="dxa"/>
            <w:vAlign w:val="center"/>
          </w:tcPr>
          <w:p>
            <w:pPr>
              <w:rPr>
                <w:rFonts w:hint="eastAsia" w:ascii="仿宋_GB2312" w:eastAsia="仿宋_GB2312" w:cs="仿宋_GB2312"/>
                <w:color w:val="auto"/>
                <w:szCs w:val="21"/>
              </w:rPr>
            </w:pPr>
            <w:r>
              <w:rPr>
                <w:rFonts w:hint="eastAsia" w:ascii="仿宋_GB2312" w:eastAsia="仿宋_GB2312" w:cs="仿宋_GB2312"/>
                <w:color w:val="auto"/>
                <w:szCs w:val="21"/>
              </w:rPr>
              <w:t>0209008000</w:t>
            </w:r>
          </w:p>
        </w:tc>
        <w:tc>
          <w:tcPr>
            <w:tcW w:w="717" w:type="dxa"/>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554" w:type="dxa"/>
            <w:vAlign w:val="center"/>
          </w:tcPr>
          <w:p>
            <w:pPr>
              <w:spacing w:line="26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【行政法规】《外国律师事务所驻华代表机构管理条例》（2001年国务院令338号）</w:t>
            </w:r>
          </w:p>
          <w:p>
            <w:pPr>
              <w:spacing w:line="26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第三十条  外国律师事务所、外国律师或者外国其他组织、个人擅自在中国境内从事法律服务活动，或者已被撤销执业许可的代表机构或者代表继续在中国境内从事法律服务活动的，由省、自治区、直辖市人民政府司法行政部门予以取缔，没收违法所得，并处5万元以上30万元以下的罚款。</w:t>
            </w:r>
          </w:p>
        </w:tc>
        <w:tc>
          <w:tcPr>
            <w:tcW w:w="910" w:type="dxa"/>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自治区</w:t>
            </w:r>
          </w:p>
          <w:p>
            <w:pPr>
              <w:jc w:val="center"/>
              <w:rPr>
                <w:rFonts w:hint="eastAsia" w:ascii="仿宋_GB2312" w:eastAsia="仿宋_GB2312" w:cs="仿宋_GB2312"/>
                <w:color w:val="auto"/>
                <w:szCs w:val="21"/>
              </w:rPr>
            </w:pPr>
          </w:p>
        </w:tc>
        <w:tc>
          <w:tcPr>
            <w:tcW w:w="1567" w:type="dxa"/>
            <w:vAlign w:val="center"/>
          </w:tcPr>
          <w:p>
            <w:pPr>
              <w:rPr>
                <w:rFonts w:hint="eastAsia" w:ascii="仿宋_GB2312" w:eastAsia="仿宋_GB2312" w:cs="仿宋_GB2312"/>
                <w:color w:val="auto"/>
                <w:szCs w:val="21"/>
              </w:rPr>
            </w:pPr>
            <w:r>
              <w:rPr>
                <w:rFonts w:hint="eastAsia" w:ascii="仿宋_GB2312" w:hAnsi="仿宋_GB2312" w:eastAsia="仿宋_GB2312" w:cs="仿宋_GB2312"/>
                <w:color w:val="auto"/>
                <w:szCs w:val="21"/>
              </w:rPr>
              <w:t>予以取缔，没收违法所得，并处5万元以上30万元以下的罚款。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4" w:type="dxa"/>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9</w:t>
            </w:r>
          </w:p>
        </w:tc>
        <w:tc>
          <w:tcPr>
            <w:tcW w:w="1619" w:type="dxa"/>
            <w:vAlign w:val="center"/>
          </w:tcPr>
          <w:p>
            <w:pPr>
              <w:rPr>
                <w:rFonts w:hint="eastAsia" w:ascii="仿宋_GB2312" w:eastAsia="仿宋_GB2312" w:cs="仿宋_GB2312"/>
                <w:color w:val="auto"/>
                <w:szCs w:val="21"/>
              </w:rPr>
            </w:pPr>
            <w:r>
              <w:rPr>
                <w:rFonts w:hint="eastAsia" w:ascii="仿宋_GB2312" w:hAnsi="仿宋_GB2312" w:eastAsia="仿宋_GB2312" w:cs="仿宋_GB2312"/>
                <w:color w:val="auto"/>
                <w:szCs w:val="21"/>
              </w:rPr>
              <w:t>对香港、澳门律师事务所驻内地代表处或者代表危害国家安全、公共安全或者社会管理秩序的处罚</w:t>
            </w:r>
          </w:p>
        </w:tc>
        <w:tc>
          <w:tcPr>
            <w:tcW w:w="791" w:type="dxa"/>
            <w:vAlign w:val="center"/>
          </w:tcPr>
          <w:p>
            <w:pPr>
              <w:rPr>
                <w:rFonts w:hint="eastAsia" w:ascii="仿宋_GB2312" w:eastAsia="仿宋_GB2312" w:cs="仿宋_GB2312"/>
                <w:color w:val="auto"/>
                <w:szCs w:val="21"/>
              </w:rPr>
            </w:pPr>
            <w:r>
              <w:rPr>
                <w:rFonts w:hint="eastAsia" w:ascii="仿宋_GB2312" w:eastAsia="仿宋_GB2312" w:cs="仿宋_GB2312"/>
                <w:color w:val="auto"/>
                <w:szCs w:val="21"/>
              </w:rPr>
              <w:t>0209009000</w:t>
            </w:r>
          </w:p>
        </w:tc>
        <w:tc>
          <w:tcPr>
            <w:tcW w:w="717" w:type="dxa"/>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554" w:type="dxa"/>
            <w:vAlign w:val="center"/>
          </w:tcPr>
          <w:p>
            <w:pPr>
              <w:spacing w:line="270" w:lineRule="exact"/>
              <w:ind w:firstLine="420" w:firstLineChars="200"/>
              <w:rPr>
                <w:rFonts w:hint="eastAsia" w:ascii="仿宋_GB2312" w:eastAsia="仿宋_GB2312" w:cs="仿宋_GB2312"/>
                <w:color w:val="auto"/>
                <w:szCs w:val="21"/>
                <w:shd w:val="clear" w:color="auto" w:fill="FFFFFF"/>
              </w:rPr>
            </w:pPr>
            <w:r>
              <w:rPr>
                <w:rFonts w:hint="eastAsia" w:ascii="仿宋_GB2312" w:hAnsi="仿宋_GB2312" w:eastAsia="仿宋_GB2312" w:cs="仿宋_GB2312"/>
                <w:color w:val="auto"/>
                <w:szCs w:val="21"/>
                <w:shd w:val="clear" w:color="auto" w:fill="FFFFFF"/>
              </w:rPr>
              <w:t>【部门规章】《香港、澳门特别行政区律师事务所驻内地代表机构管理办法》（2015年司法部令第131号修正）</w:t>
            </w:r>
          </w:p>
          <w:p>
            <w:pPr>
              <w:spacing w:line="27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shd w:val="clear" w:color="auto" w:fill="FFFFFF"/>
              </w:rPr>
              <w:t>第二十四条  代表处或者代表危害国家安全、公共安全或者社会管理秩序的，依照刑法有关规定，追究刑事责任，并由省、自治区、直辖市司法厅（局）吊销该代表处的执业执照或该代表的执业证书；尚不够刑事处罚的，依法给予治安管理处罚，并由省、自治区、直辖市司法厅（局）吊销该代表处的执业执照或该代表的执业证书。</w:t>
            </w:r>
          </w:p>
        </w:tc>
        <w:tc>
          <w:tcPr>
            <w:tcW w:w="910" w:type="dxa"/>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自治区</w:t>
            </w:r>
          </w:p>
        </w:tc>
        <w:tc>
          <w:tcPr>
            <w:tcW w:w="1567" w:type="dxa"/>
            <w:vAlign w:val="center"/>
          </w:tcPr>
          <w:p>
            <w:pPr>
              <w:rPr>
                <w:rFonts w:hint="eastAsia" w:ascii="仿宋_GB2312" w:eastAsia="仿宋_GB2312" w:cs="仿宋_GB2312"/>
                <w:color w:val="auto"/>
                <w:szCs w:val="21"/>
              </w:rPr>
            </w:pPr>
            <w:r>
              <w:rPr>
                <w:rFonts w:hint="eastAsia" w:ascii="仿宋_GB2312" w:hAnsi="仿宋_GB2312" w:eastAsia="仿宋_GB2312" w:cs="仿宋_GB2312"/>
                <w:color w:val="auto"/>
                <w:szCs w:val="21"/>
              </w:rPr>
              <w:t>吊销该代表处的执业执照或该代表的执业证书。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4" w:type="dxa"/>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10</w:t>
            </w:r>
          </w:p>
        </w:tc>
        <w:tc>
          <w:tcPr>
            <w:tcW w:w="1619" w:type="dxa"/>
            <w:vAlign w:val="center"/>
          </w:tcPr>
          <w:p>
            <w:pPr>
              <w:spacing w:line="270" w:lineRule="exact"/>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对香港、澳门律师事务所驻内地代表处或者代表非法从事法律服务活动或者其他营利活动的处罚</w:t>
            </w:r>
          </w:p>
        </w:tc>
        <w:tc>
          <w:tcPr>
            <w:tcW w:w="791" w:type="dxa"/>
            <w:vAlign w:val="center"/>
          </w:tcPr>
          <w:p>
            <w:pPr>
              <w:rPr>
                <w:rFonts w:hint="eastAsia" w:ascii="仿宋_GB2312" w:eastAsia="仿宋_GB2312" w:cs="仿宋_GB2312"/>
                <w:color w:val="auto"/>
                <w:szCs w:val="21"/>
              </w:rPr>
            </w:pPr>
            <w:r>
              <w:rPr>
                <w:rFonts w:hint="eastAsia" w:ascii="仿宋_GB2312" w:eastAsia="仿宋_GB2312" w:cs="仿宋_GB2312"/>
                <w:color w:val="auto"/>
                <w:szCs w:val="21"/>
              </w:rPr>
              <w:t>0209010000</w:t>
            </w:r>
          </w:p>
        </w:tc>
        <w:tc>
          <w:tcPr>
            <w:tcW w:w="717" w:type="dxa"/>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554" w:type="dxa"/>
            <w:vAlign w:val="center"/>
          </w:tcPr>
          <w:p>
            <w:pPr>
              <w:spacing w:line="270" w:lineRule="exact"/>
              <w:ind w:firstLine="420" w:firstLineChars="200"/>
              <w:rPr>
                <w:rFonts w:hint="eastAsia" w:ascii="仿宋_GB2312" w:eastAsia="仿宋_GB2312" w:cs="仿宋_GB2312"/>
                <w:color w:val="auto"/>
                <w:szCs w:val="21"/>
                <w:shd w:val="clear" w:color="auto" w:fill="FFFFFF"/>
              </w:rPr>
            </w:pPr>
            <w:r>
              <w:rPr>
                <w:rFonts w:hint="eastAsia" w:ascii="仿宋_GB2312" w:hAnsi="仿宋_GB2312" w:eastAsia="仿宋_GB2312" w:cs="仿宋_GB2312"/>
                <w:color w:val="auto"/>
                <w:szCs w:val="21"/>
                <w:shd w:val="clear" w:color="auto" w:fill="FFFFFF"/>
              </w:rPr>
              <w:t>【部门规章】《香港、澳门特别行政区律师事务所驻内地代表机构管理办法》（2015年司法部令第131号修正）</w:t>
            </w:r>
          </w:p>
          <w:p>
            <w:pPr>
              <w:spacing w:line="270" w:lineRule="exact"/>
              <w:ind w:firstLine="420" w:firstLineChars="200"/>
              <w:rPr>
                <w:rFonts w:hint="eastAsia" w:ascii="仿宋_GB2312" w:eastAsia="仿宋_GB2312" w:cs="仿宋_GB2312"/>
                <w:color w:val="auto"/>
                <w:szCs w:val="21"/>
                <w:shd w:val="clear" w:color="auto" w:fill="FFFFFF"/>
              </w:rPr>
            </w:pPr>
            <w:r>
              <w:rPr>
                <w:rFonts w:hint="eastAsia" w:ascii="仿宋_GB2312" w:hAnsi="仿宋_GB2312" w:eastAsia="仿宋_GB2312" w:cs="仿宋_GB2312"/>
                <w:color w:val="auto"/>
                <w:szCs w:val="21"/>
                <w:shd w:val="clear" w:color="auto" w:fill="FFFFFF"/>
              </w:rPr>
              <w:t>第十五条　代表处及其代表，只能从事不包括内地法律事务的下列活动：(一)向当事人提供该律师事务所律师已获准从事律师执业业务的香港特别行政区、澳门特别行政区以及中国以外的其他国家的法律咨询，有关国际条约、国际惯例的咨询；(二)接受当事人或者内地律师事务所的委托，办理在该律师事务所律师已获准从事律师执业业务的地区的法律事务；(三)代表港、澳特别行政区当事人，委托内地律师事务所办理内地法律事务；(四)通过订立合同与内地律师事务所保持长期的委托关系办理法律事务；(五)提供有关内地法律环境影响的信息。</w:t>
            </w:r>
          </w:p>
          <w:p>
            <w:pPr>
              <w:spacing w:line="270" w:lineRule="exact"/>
              <w:ind w:firstLine="420" w:firstLineChars="200"/>
              <w:rPr>
                <w:rFonts w:hint="eastAsia" w:ascii="仿宋_GB2312" w:eastAsia="仿宋_GB2312" w:cs="仿宋_GB2312"/>
                <w:color w:val="auto"/>
                <w:szCs w:val="21"/>
                <w:shd w:val="clear" w:color="auto" w:fill="FFFFFF"/>
              </w:rPr>
            </w:pPr>
            <w:r>
              <w:rPr>
                <w:rFonts w:hint="eastAsia" w:ascii="仿宋_GB2312" w:hAnsi="仿宋_GB2312" w:eastAsia="仿宋_GB2312" w:cs="仿宋_GB2312"/>
                <w:color w:val="auto"/>
                <w:szCs w:val="21"/>
                <w:shd w:val="clear" w:color="auto" w:fill="FFFFFF"/>
              </w:rPr>
              <w:t>代表处按照与内地律师事务所达成的协议约定，可以直接向受委托的内地律师事务所的律师提出要求。</w:t>
            </w:r>
          </w:p>
          <w:p>
            <w:pPr>
              <w:spacing w:line="270" w:lineRule="exact"/>
              <w:ind w:firstLine="420" w:firstLineChars="200"/>
              <w:rPr>
                <w:rFonts w:hint="eastAsia" w:ascii="仿宋_GB2312" w:eastAsia="仿宋_GB2312" w:cs="仿宋_GB2312"/>
                <w:color w:val="auto"/>
                <w:szCs w:val="21"/>
                <w:shd w:val="clear" w:color="auto" w:fill="FFFFFF"/>
              </w:rPr>
            </w:pPr>
            <w:r>
              <w:rPr>
                <w:rFonts w:hint="eastAsia" w:ascii="仿宋_GB2312" w:hAnsi="仿宋_GB2312" w:eastAsia="仿宋_GB2312" w:cs="仿宋_GB2312"/>
                <w:color w:val="auto"/>
                <w:szCs w:val="21"/>
                <w:shd w:val="clear" w:color="auto" w:fill="FFFFFF"/>
              </w:rPr>
              <w:t>代表处及其代表不得从事本条第一款、第二款规定以外的其他法律服务活动或者其他营利活动。</w:t>
            </w:r>
          </w:p>
          <w:p>
            <w:pPr>
              <w:spacing w:line="270" w:lineRule="exact"/>
              <w:ind w:firstLine="420" w:firstLineChars="200"/>
              <w:rPr>
                <w:rFonts w:hint="eastAsia" w:ascii="仿宋_GB2312" w:eastAsia="仿宋_GB2312" w:cs="仿宋_GB2312"/>
                <w:color w:val="auto"/>
                <w:szCs w:val="21"/>
                <w:shd w:val="clear" w:color="auto" w:fill="FFFFFF"/>
              </w:rPr>
            </w:pPr>
            <w:r>
              <w:rPr>
                <w:rFonts w:hint="eastAsia" w:ascii="仿宋_GB2312" w:hAnsi="仿宋_GB2312" w:eastAsia="仿宋_GB2312" w:cs="仿宋_GB2312"/>
                <w:color w:val="auto"/>
                <w:szCs w:val="21"/>
                <w:shd w:val="clear" w:color="auto" w:fill="FFFFFF"/>
              </w:rPr>
              <w:t>第二十五条  代表处或者代表违反本办法第十五条的规定，非法从事法律服务活动或者其他营利活动的，由省、自治区、直辖市司法厅(局)对代表处给予停业整顿六个月以下的处罚或者对代表给予停止执业一年以下的处罚；情节严重的，吊销该代表处的执业执照或者该代表的执业证书。</w:t>
            </w:r>
          </w:p>
          <w:p>
            <w:pPr>
              <w:spacing w:line="270" w:lineRule="exact"/>
              <w:ind w:firstLine="420" w:firstLineChars="200"/>
              <w:rPr>
                <w:rFonts w:hint="eastAsia" w:ascii="仿宋_GB2312" w:eastAsia="仿宋_GB2312" w:cs="仿宋_GB2312"/>
                <w:color w:val="auto"/>
                <w:szCs w:val="21"/>
                <w:shd w:val="clear" w:color="auto" w:fill="FFFFFF"/>
              </w:rPr>
            </w:pPr>
            <w:r>
              <w:rPr>
                <w:rFonts w:hint="eastAsia" w:ascii="仿宋_GB2312" w:hAnsi="仿宋_GB2312" w:eastAsia="仿宋_GB2312" w:cs="仿宋_GB2312"/>
                <w:color w:val="auto"/>
                <w:szCs w:val="21"/>
                <w:shd w:val="clear" w:color="auto" w:fill="FFFFFF"/>
              </w:rPr>
              <w:t>有前款所列违法行为的，由省、自治区、直辖市司法厅(局)没收违法所得，对首席代表和其他负有直接责任的代表各处5万元以上20万元以下的罚款。</w:t>
            </w:r>
          </w:p>
        </w:tc>
        <w:tc>
          <w:tcPr>
            <w:tcW w:w="910" w:type="dxa"/>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自治区</w:t>
            </w:r>
          </w:p>
        </w:tc>
        <w:tc>
          <w:tcPr>
            <w:tcW w:w="1567" w:type="dxa"/>
            <w:vAlign w:val="center"/>
          </w:tcPr>
          <w:p>
            <w:pPr>
              <w:rPr>
                <w:rFonts w:hint="eastAsia" w:ascii="仿宋_GB2312" w:eastAsia="仿宋_GB2312" w:cs="仿宋_GB2312"/>
                <w:color w:val="auto"/>
                <w:szCs w:val="21"/>
              </w:rPr>
            </w:pPr>
            <w:r>
              <w:rPr>
                <w:rFonts w:hint="eastAsia" w:ascii="仿宋_GB2312" w:hAnsi="仿宋_GB2312" w:eastAsia="仿宋_GB2312" w:cs="仿宋_GB2312"/>
                <w:color w:val="auto"/>
                <w:szCs w:val="21"/>
              </w:rPr>
              <w:t>对代表处给予停业整顿六个月以下的处罚或者对代表给予停止执业一年以下的处罚；吊销该代表处的执业执照或者该代表的执业证书；没收违法所得，对首席代表和其他负有直接责任的代表各处5万元以上20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4" w:type="dxa"/>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11</w:t>
            </w:r>
          </w:p>
        </w:tc>
        <w:tc>
          <w:tcPr>
            <w:tcW w:w="1619" w:type="dxa"/>
            <w:vAlign w:val="center"/>
          </w:tcPr>
          <w:p>
            <w:pPr>
              <w:spacing w:line="270" w:lineRule="exact"/>
              <w:rPr>
                <w:rFonts w:hint="eastAsia" w:ascii="仿宋_GB2312" w:eastAsia="仿宋_GB2312" w:cs="仿宋_GB2312"/>
                <w:color w:val="auto"/>
                <w:szCs w:val="21"/>
              </w:rPr>
            </w:pPr>
            <w:r>
              <w:rPr>
                <w:rFonts w:hint="eastAsia" w:ascii="仿宋_GB2312" w:hAnsi="仿宋_GB2312" w:eastAsia="仿宋_GB2312" w:cs="仿宋_GB2312"/>
                <w:color w:val="auto"/>
                <w:szCs w:val="21"/>
              </w:rPr>
              <w:t>对香港、澳门律师事务所驻内地代表处聘用内地执业律师或者聘用的辅助人员从事法律服务等行为的处罚</w:t>
            </w:r>
          </w:p>
        </w:tc>
        <w:tc>
          <w:tcPr>
            <w:tcW w:w="791" w:type="dxa"/>
            <w:vAlign w:val="center"/>
          </w:tcPr>
          <w:p>
            <w:pPr>
              <w:rPr>
                <w:rFonts w:hint="eastAsia" w:ascii="仿宋_GB2312" w:eastAsia="仿宋_GB2312" w:cs="仿宋_GB2312"/>
                <w:color w:val="auto"/>
                <w:szCs w:val="21"/>
              </w:rPr>
            </w:pPr>
            <w:r>
              <w:rPr>
                <w:rFonts w:hint="eastAsia" w:ascii="仿宋_GB2312" w:eastAsia="仿宋_GB2312" w:cs="仿宋_GB2312"/>
                <w:color w:val="auto"/>
                <w:szCs w:val="21"/>
              </w:rPr>
              <w:t>0209011000</w:t>
            </w:r>
          </w:p>
        </w:tc>
        <w:tc>
          <w:tcPr>
            <w:tcW w:w="717" w:type="dxa"/>
            <w:vAlign w:val="center"/>
          </w:tcPr>
          <w:p>
            <w:pPr>
              <w:spacing w:line="270" w:lineRule="exact"/>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554" w:type="dxa"/>
            <w:vAlign w:val="center"/>
          </w:tcPr>
          <w:p>
            <w:pPr>
              <w:widowControl/>
              <w:spacing w:line="27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【部门规章】《香港、澳门特别行政区律师事务所驻内地代表机构管理办法》（2015年司法部令第131号修正）</w:t>
            </w:r>
          </w:p>
          <w:p>
            <w:pPr>
              <w:pStyle w:val="49"/>
              <w:spacing w:before="0" w:beforeAutospacing="0" w:after="0" w:afterAutospacing="0" w:line="270" w:lineRule="exact"/>
              <w:ind w:right="102" w:firstLine="420" w:firstLineChars="200"/>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第二十六条  代表处有下列情形之一的，由省、自治区、直辖市司法厅(局)给予警告，责令限期改正；情节严重的，对代表处给予停业整顿六个月以下的处罚；逾期仍不改正的，吊销其执业执照：(一)聘用内地执业律师，或者聘用的辅助人员从事法律服务的；(二)开展法律服务收取费用未在内地结算的；(三)未按时报送年度检验材料接受年度检验，或者未通过年度检验的。</w:t>
            </w:r>
          </w:p>
          <w:p>
            <w:pPr>
              <w:spacing w:line="270" w:lineRule="exact"/>
              <w:ind w:firstLine="420" w:firstLineChars="200"/>
              <w:rPr>
                <w:rFonts w:hint="eastAsia" w:ascii="仿宋_GB2312" w:eastAsia="仿宋_GB2312" w:cs="仿宋_GB2312"/>
                <w:color w:val="auto"/>
                <w:szCs w:val="21"/>
                <w:shd w:val="clear" w:color="auto" w:fill="FFFFFF"/>
              </w:rPr>
            </w:pPr>
            <w:r>
              <w:rPr>
                <w:rFonts w:hint="eastAsia" w:ascii="仿宋_GB2312" w:hAnsi="仿宋_GB2312" w:eastAsia="仿宋_GB2312" w:cs="仿宋_GB2312"/>
                <w:color w:val="auto"/>
                <w:szCs w:val="21"/>
              </w:rPr>
              <w:t>有前款第(二)项所列违法行为的，由省、自治区、直辖市司法厅(局)对其处以应当在内地结算的金额1倍以上3倍以下的罚款。</w:t>
            </w:r>
          </w:p>
        </w:tc>
        <w:tc>
          <w:tcPr>
            <w:tcW w:w="910" w:type="dxa"/>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kern w:val="0"/>
                <w:szCs w:val="21"/>
              </w:rPr>
              <w:t>自治区</w:t>
            </w:r>
          </w:p>
        </w:tc>
        <w:tc>
          <w:tcPr>
            <w:tcW w:w="1567" w:type="dxa"/>
            <w:vAlign w:val="center"/>
          </w:tcPr>
          <w:p>
            <w:pPr>
              <w:rPr>
                <w:rFonts w:hint="eastAsia" w:ascii="仿宋_GB2312" w:eastAsia="仿宋_GB2312" w:cs="仿宋_GB2312"/>
                <w:color w:val="auto"/>
                <w:szCs w:val="21"/>
              </w:rPr>
            </w:pPr>
            <w:r>
              <w:rPr>
                <w:rFonts w:hint="eastAsia" w:ascii="仿宋_GB2312" w:hAnsi="仿宋_GB2312" w:eastAsia="仿宋_GB2312" w:cs="仿宋_GB2312"/>
                <w:color w:val="auto"/>
                <w:szCs w:val="21"/>
              </w:rPr>
              <w:t>给予警告；对代表处给予停业整顿六个月以下的处罚；吊销其执业执照；处以应当在内地结算的金额1倍以上3倍以下的罚款。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4" w:type="dxa"/>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12</w:t>
            </w:r>
          </w:p>
        </w:tc>
        <w:tc>
          <w:tcPr>
            <w:tcW w:w="1619" w:type="dxa"/>
            <w:vAlign w:val="center"/>
          </w:tcPr>
          <w:p>
            <w:pPr>
              <w:spacing w:line="270" w:lineRule="exact"/>
              <w:rPr>
                <w:rFonts w:hint="eastAsia" w:ascii="仿宋_GB2312" w:eastAsia="仿宋_GB2312" w:cs="仿宋_GB2312"/>
                <w:color w:val="auto"/>
                <w:szCs w:val="21"/>
              </w:rPr>
            </w:pPr>
            <w:r>
              <w:rPr>
                <w:rFonts w:hint="eastAsia" w:ascii="仿宋_GB2312" w:hAnsi="仿宋_GB2312" w:eastAsia="仿宋_GB2312" w:cs="仿宋_GB2312"/>
                <w:color w:val="auto"/>
                <w:szCs w:val="21"/>
              </w:rPr>
              <w:t>对香港、澳门律师事务所驻内地代表处或代表同时在两个以上代表处担任或者兼任代表的等行为的处罚</w:t>
            </w:r>
          </w:p>
        </w:tc>
        <w:tc>
          <w:tcPr>
            <w:tcW w:w="791" w:type="dxa"/>
            <w:vAlign w:val="center"/>
          </w:tcPr>
          <w:p>
            <w:pPr>
              <w:rPr>
                <w:rFonts w:hint="eastAsia" w:ascii="仿宋_GB2312" w:eastAsia="仿宋_GB2312" w:cs="仿宋_GB2312"/>
                <w:color w:val="auto"/>
                <w:szCs w:val="21"/>
              </w:rPr>
            </w:pPr>
            <w:r>
              <w:rPr>
                <w:rFonts w:hint="eastAsia" w:ascii="仿宋_GB2312" w:eastAsia="仿宋_GB2312" w:cs="仿宋_GB2312"/>
                <w:color w:val="auto"/>
                <w:szCs w:val="21"/>
              </w:rPr>
              <w:t>0209012000</w:t>
            </w:r>
          </w:p>
        </w:tc>
        <w:tc>
          <w:tcPr>
            <w:tcW w:w="717" w:type="dxa"/>
            <w:vAlign w:val="center"/>
          </w:tcPr>
          <w:p>
            <w:pPr>
              <w:spacing w:line="270" w:lineRule="exact"/>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554" w:type="dxa"/>
            <w:vAlign w:val="center"/>
          </w:tcPr>
          <w:p>
            <w:pPr>
              <w:pStyle w:val="49"/>
              <w:spacing w:before="0" w:beforeAutospacing="0" w:after="0" w:afterAutospacing="0" w:line="270" w:lineRule="exact"/>
              <w:ind w:right="100" w:firstLine="420" w:firstLineChars="200"/>
              <w:jc w:val="both"/>
              <w:rPr>
                <w:rStyle w:val="50"/>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【部门规章】《香港、澳门特别行政区律师事务所驻内地代表机构管理办法》（2015年司法部令第131号修正）</w:t>
            </w:r>
          </w:p>
          <w:p>
            <w:pPr>
              <w:spacing w:line="270" w:lineRule="exact"/>
              <w:ind w:firstLine="422" w:firstLineChars="200"/>
              <w:rPr>
                <w:rFonts w:hint="eastAsia" w:ascii="仿宋_GB2312" w:eastAsia="仿宋_GB2312" w:cs="仿宋_GB2312"/>
                <w:color w:val="auto"/>
                <w:szCs w:val="21"/>
                <w:shd w:val="clear" w:color="auto" w:fill="FFFFFF"/>
              </w:rPr>
            </w:pPr>
            <w:r>
              <w:rPr>
                <w:rStyle w:val="10"/>
                <w:rFonts w:hint="eastAsia" w:ascii="仿宋_GB2312" w:hAnsi="仿宋_GB2312" w:eastAsia="仿宋_GB2312" w:cs="仿宋_GB2312"/>
                <w:color w:val="auto"/>
                <w:szCs w:val="21"/>
              </w:rPr>
              <w:t>第二十七条</w:t>
            </w:r>
            <w:r>
              <w:rPr>
                <w:rFonts w:hint="eastAsia" w:ascii="仿宋_GB2312" w:hAnsi="仿宋_GB2312" w:eastAsia="仿宋_GB2312" w:cs="仿宋_GB2312"/>
                <w:color w:val="auto"/>
                <w:szCs w:val="21"/>
              </w:rPr>
              <w:t>　代表处或者代表有下列情形之一的，由省、自治区、直辖市司法厅(局)给予警告，没收违法所得；情节严重的，对代表处给予停业整顿六个月以下的处罚或者对代表给予停止执业一年以下的处罚，并处2万元以上10万元以下的罚款：(一)同时在两个以上代表处担任或者兼任代表的；(二)泄露当事人的商业秘密或者个人隐私的；(三)利用法律服务的便利，收受当事人财物或者其他好处的。</w:t>
            </w:r>
          </w:p>
        </w:tc>
        <w:tc>
          <w:tcPr>
            <w:tcW w:w="910" w:type="dxa"/>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kern w:val="0"/>
                <w:szCs w:val="21"/>
              </w:rPr>
              <w:t>自治区</w:t>
            </w:r>
          </w:p>
        </w:tc>
        <w:tc>
          <w:tcPr>
            <w:tcW w:w="1567" w:type="dxa"/>
            <w:vAlign w:val="center"/>
          </w:tcPr>
          <w:p>
            <w:pPr>
              <w:rPr>
                <w:rFonts w:hint="eastAsia" w:ascii="仿宋_GB2312" w:eastAsia="仿宋_GB2312" w:cs="仿宋_GB2312"/>
                <w:color w:val="auto"/>
                <w:szCs w:val="21"/>
              </w:rPr>
            </w:pPr>
            <w:r>
              <w:rPr>
                <w:rFonts w:hint="eastAsia" w:ascii="仿宋_GB2312" w:hAnsi="仿宋_GB2312" w:eastAsia="仿宋_GB2312" w:cs="仿宋_GB2312"/>
                <w:color w:val="auto"/>
                <w:szCs w:val="21"/>
              </w:rPr>
              <w:t>给予警告，没收违法所得；对代表处给予停业整顿六个月以下的处罚或者对代表给予停止执业一年以下的处罚，并处2万元以上10万元以下的罚款。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4" w:type="dxa"/>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13</w:t>
            </w:r>
          </w:p>
        </w:tc>
        <w:tc>
          <w:tcPr>
            <w:tcW w:w="1619" w:type="dxa"/>
            <w:vAlign w:val="center"/>
          </w:tcPr>
          <w:p>
            <w:pPr>
              <w:spacing w:line="270" w:lineRule="exact"/>
              <w:rPr>
                <w:rFonts w:hint="eastAsia" w:ascii="仿宋_GB2312" w:eastAsia="仿宋_GB2312" w:cs="仿宋_GB2312"/>
                <w:color w:val="auto"/>
                <w:szCs w:val="21"/>
              </w:rPr>
            </w:pPr>
            <w:r>
              <w:rPr>
                <w:rFonts w:hint="eastAsia" w:ascii="仿宋_GB2312" w:hAnsi="仿宋_GB2312" w:eastAsia="仿宋_GB2312" w:cs="仿宋_GB2312"/>
                <w:color w:val="auto"/>
                <w:szCs w:val="21"/>
              </w:rPr>
              <w:t>对香港、澳门律师事务所驻内地代表处注销，在债务清偿完毕前将财产转移至内地以外的或严重损害他人利益的行为的处罚</w:t>
            </w:r>
          </w:p>
        </w:tc>
        <w:tc>
          <w:tcPr>
            <w:tcW w:w="791" w:type="dxa"/>
            <w:vAlign w:val="center"/>
          </w:tcPr>
          <w:p>
            <w:pPr>
              <w:rPr>
                <w:rFonts w:hint="eastAsia" w:ascii="仿宋_GB2312" w:eastAsia="仿宋_GB2312" w:cs="仿宋_GB2312"/>
                <w:color w:val="auto"/>
                <w:szCs w:val="21"/>
              </w:rPr>
            </w:pPr>
            <w:r>
              <w:rPr>
                <w:rFonts w:hint="eastAsia" w:ascii="仿宋_GB2312" w:eastAsia="仿宋_GB2312" w:cs="仿宋_GB2312"/>
                <w:color w:val="auto"/>
                <w:szCs w:val="21"/>
              </w:rPr>
              <w:t>0209013000</w:t>
            </w:r>
          </w:p>
        </w:tc>
        <w:tc>
          <w:tcPr>
            <w:tcW w:w="717" w:type="dxa"/>
            <w:vAlign w:val="center"/>
          </w:tcPr>
          <w:p>
            <w:pPr>
              <w:spacing w:line="270" w:lineRule="exact"/>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554" w:type="dxa"/>
            <w:vAlign w:val="center"/>
          </w:tcPr>
          <w:p>
            <w:pPr>
              <w:pStyle w:val="49"/>
              <w:spacing w:before="0" w:beforeAutospacing="0" w:after="0" w:afterAutospacing="0" w:line="270" w:lineRule="exact"/>
              <w:ind w:right="102" w:firstLine="420" w:firstLineChars="200"/>
              <w:jc w:val="both"/>
              <w:rPr>
                <w:rStyle w:val="50"/>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【部门规章】《香港、澳门特别行政区律师事务所驻内地代表机构管理办法》（2015年司法部令第131号修正）</w:t>
            </w:r>
          </w:p>
          <w:p>
            <w:pPr>
              <w:spacing w:line="270" w:lineRule="exact"/>
              <w:ind w:firstLine="420" w:firstLineChars="200"/>
              <w:rPr>
                <w:rFonts w:hint="eastAsia" w:ascii="仿宋_GB2312" w:eastAsia="仿宋_GB2312" w:cs="仿宋_GB2312"/>
                <w:color w:val="auto"/>
                <w:szCs w:val="21"/>
                <w:shd w:val="clear" w:color="auto" w:fill="FFFFFF"/>
              </w:rPr>
            </w:pPr>
            <w:r>
              <w:rPr>
                <w:rStyle w:val="50"/>
                <w:rFonts w:hint="eastAsia" w:ascii="仿宋_GB2312" w:eastAsia="仿宋_GB2312" w:cs="仿宋_GB2312"/>
                <w:color w:val="auto"/>
                <w:szCs w:val="21"/>
              </w:rPr>
              <w:t> </w:t>
            </w:r>
            <w:r>
              <w:rPr>
                <w:rStyle w:val="10"/>
                <w:rFonts w:hint="eastAsia" w:ascii="仿宋_GB2312" w:hAnsi="仿宋_GB2312" w:eastAsia="仿宋_GB2312" w:cs="仿宋_GB2312"/>
                <w:color w:val="auto"/>
                <w:szCs w:val="21"/>
              </w:rPr>
              <w:t>第二十八条</w:t>
            </w:r>
            <w:r>
              <w:rPr>
                <w:rFonts w:hint="eastAsia" w:ascii="仿宋_GB2312" w:hAnsi="仿宋_GB2312" w:eastAsia="仿宋_GB2312" w:cs="仿宋_GB2312"/>
                <w:color w:val="auto"/>
                <w:szCs w:val="21"/>
              </w:rPr>
              <w:t>　代表处注销，在债务清偿完毕前将财产转移至内地以外的，由省、自治区、直辖市司法厅(局)责令退回已转移的财产，用于清偿债务；严重损害他人利益，构成犯罪的，对其首席代表和其他直接责任人员依法追究刑事责任；尚不够刑事处罚的，由省、自治区、直辖市司法厅(局)对代表处处5万元以上30万元以下的罚款，对首席代表和其他直接责任人员处2万元以上10万元以下的罚款。</w:t>
            </w:r>
          </w:p>
        </w:tc>
        <w:tc>
          <w:tcPr>
            <w:tcW w:w="910" w:type="dxa"/>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kern w:val="0"/>
                <w:szCs w:val="21"/>
              </w:rPr>
              <w:t>自治区</w:t>
            </w:r>
          </w:p>
        </w:tc>
        <w:tc>
          <w:tcPr>
            <w:tcW w:w="1567" w:type="dxa"/>
            <w:vAlign w:val="center"/>
          </w:tcPr>
          <w:p>
            <w:pPr>
              <w:rPr>
                <w:rFonts w:hint="eastAsia" w:ascii="仿宋_GB2312" w:eastAsia="仿宋_GB2312" w:cs="仿宋_GB2312"/>
                <w:color w:val="auto"/>
                <w:szCs w:val="21"/>
              </w:rPr>
            </w:pPr>
            <w:r>
              <w:rPr>
                <w:rFonts w:hint="eastAsia" w:ascii="仿宋_GB2312" w:hAnsi="仿宋_GB2312" w:eastAsia="仿宋_GB2312" w:cs="仿宋_GB2312"/>
                <w:color w:val="auto"/>
                <w:szCs w:val="21"/>
              </w:rPr>
              <w:t>对代表处处5万元以上30万元以下的罚款，对首席代表和其他直接责任人员处2万元以上10万元以下的罚款。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5" w:hRule="atLeast"/>
        </w:trPr>
        <w:tc>
          <w:tcPr>
            <w:tcW w:w="704" w:type="dxa"/>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14</w:t>
            </w:r>
          </w:p>
        </w:tc>
        <w:tc>
          <w:tcPr>
            <w:tcW w:w="1619" w:type="dxa"/>
            <w:vAlign w:val="center"/>
          </w:tcPr>
          <w:p>
            <w:pPr>
              <w:spacing w:line="270" w:lineRule="exact"/>
              <w:rPr>
                <w:rFonts w:hint="eastAsia" w:ascii="仿宋_GB2312" w:eastAsia="仿宋_GB2312" w:cs="仿宋_GB2312"/>
                <w:color w:val="auto"/>
                <w:szCs w:val="21"/>
              </w:rPr>
            </w:pPr>
            <w:r>
              <w:rPr>
                <w:rFonts w:hint="eastAsia" w:ascii="仿宋_GB2312" w:hAnsi="仿宋_GB2312" w:eastAsia="仿宋_GB2312" w:cs="仿宋_GB2312"/>
                <w:color w:val="auto"/>
                <w:szCs w:val="21"/>
              </w:rPr>
              <w:t>对香港、澳门律师事务所驻内地代表处代表提供虚假证据、隐瞒事实或者威胁、利诱他人提供虚假证据、隐瞒事实的行为的处罚</w:t>
            </w:r>
          </w:p>
        </w:tc>
        <w:tc>
          <w:tcPr>
            <w:tcW w:w="791" w:type="dxa"/>
            <w:vAlign w:val="center"/>
          </w:tcPr>
          <w:p>
            <w:pPr>
              <w:rPr>
                <w:rFonts w:hint="eastAsia" w:ascii="仿宋_GB2312" w:eastAsia="仿宋_GB2312" w:cs="仿宋_GB2312"/>
                <w:color w:val="auto"/>
                <w:szCs w:val="21"/>
              </w:rPr>
            </w:pPr>
            <w:r>
              <w:rPr>
                <w:rFonts w:hint="eastAsia" w:ascii="仿宋_GB2312" w:eastAsia="仿宋_GB2312" w:cs="仿宋_GB2312"/>
                <w:color w:val="auto"/>
                <w:szCs w:val="21"/>
              </w:rPr>
              <w:t>0209014000</w:t>
            </w:r>
          </w:p>
        </w:tc>
        <w:tc>
          <w:tcPr>
            <w:tcW w:w="717" w:type="dxa"/>
            <w:vAlign w:val="center"/>
          </w:tcPr>
          <w:p>
            <w:pPr>
              <w:spacing w:line="270" w:lineRule="exact"/>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554" w:type="dxa"/>
            <w:vAlign w:val="center"/>
          </w:tcPr>
          <w:p>
            <w:pPr>
              <w:widowControl/>
              <w:spacing w:line="270" w:lineRule="exact"/>
              <w:ind w:firstLine="420" w:firstLineChars="200"/>
              <w:rPr>
                <w:rStyle w:val="10"/>
                <w:rFonts w:hint="eastAsia" w:ascii="仿宋_GB2312" w:eastAsia="仿宋_GB2312" w:cs="仿宋_GB2312"/>
                <w:b w:val="0"/>
                <w:color w:val="auto"/>
                <w:szCs w:val="21"/>
              </w:rPr>
            </w:pPr>
            <w:r>
              <w:rPr>
                <w:rFonts w:hint="eastAsia" w:ascii="仿宋_GB2312" w:hAnsi="仿宋_GB2312" w:eastAsia="仿宋_GB2312" w:cs="仿宋_GB2312"/>
                <w:color w:val="auto"/>
                <w:szCs w:val="21"/>
              </w:rPr>
              <w:t>【部门规章】《香港、澳门特别行政区律师事务所驻内地代表机构管理办法》（2015年司法部令第131号修正）</w:t>
            </w:r>
          </w:p>
          <w:p>
            <w:pPr>
              <w:spacing w:line="270" w:lineRule="exact"/>
              <w:ind w:firstLine="422" w:firstLineChars="200"/>
              <w:rPr>
                <w:rFonts w:hint="eastAsia" w:ascii="仿宋_GB2312" w:eastAsia="仿宋_GB2312" w:cs="仿宋_GB2312"/>
                <w:color w:val="auto"/>
                <w:szCs w:val="21"/>
                <w:shd w:val="clear" w:color="auto" w:fill="FFFFFF"/>
              </w:rPr>
            </w:pPr>
            <w:r>
              <w:rPr>
                <w:rStyle w:val="10"/>
                <w:rFonts w:hint="eastAsia" w:ascii="仿宋_GB2312" w:hAnsi="仿宋_GB2312" w:eastAsia="仿宋_GB2312" w:cs="仿宋_GB2312"/>
                <w:color w:val="auto"/>
                <w:szCs w:val="21"/>
              </w:rPr>
              <w:t>第二十九条</w:t>
            </w:r>
            <w:r>
              <w:rPr>
                <w:rFonts w:hint="eastAsia" w:ascii="仿宋_GB2312" w:hAnsi="仿宋_GB2312" w:eastAsia="仿宋_GB2312" w:cs="仿宋_GB2312"/>
                <w:color w:val="auto"/>
                <w:szCs w:val="21"/>
              </w:rPr>
              <w:t>　代表处的代表提供虚假证据、隐瞒事实或者威胁、利诱他人提供虚假证据、隐瞒事实的，依照刑法有关规定追究刑事责任，并由省、自治区、直辖市司法厅（局）吊销其执业证书。</w:t>
            </w:r>
          </w:p>
        </w:tc>
        <w:tc>
          <w:tcPr>
            <w:tcW w:w="910" w:type="dxa"/>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kern w:val="0"/>
                <w:szCs w:val="21"/>
              </w:rPr>
              <w:t>自治区</w:t>
            </w:r>
          </w:p>
        </w:tc>
        <w:tc>
          <w:tcPr>
            <w:tcW w:w="1567" w:type="dxa"/>
            <w:vAlign w:val="center"/>
          </w:tcPr>
          <w:p>
            <w:pPr>
              <w:rPr>
                <w:rFonts w:hint="eastAsia" w:ascii="仿宋_GB2312" w:eastAsia="仿宋_GB2312" w:cs="仿宋_GB2312"/>
                <w:color w:val="auto"/>
                <w:szCs w:val="21"/>
              </w:rPr>
            </w:pPr>
            <w:r>
              <w:rPr>
                <w:rFonts w:hint="eastAsia" w:ascii="仿宋_GB2312" w:hAnsi="仿宋_GB2312" w:eastAsia="仿宋_GB2312" w:cs="仿宋_GB2312"/>
                <w:color w:val="auto"/>
                <w:szCs w:val="21"/>
              </w:rPr>
              <w:t>吊销其执业证书。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4" w:type="dxa"/>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15</w:t>
            </w:r>
          </w:p>
        </w:tc>
        <w:tc>
          <w:tcPr>
            <w:tcW w:w="1619" w:type="dxa"/>
            <w:vAlign w:val="center"/>
          </w:tcPr>
          <w:p>
            <w:pPr>
              <w:spacing w:line="270" w:lineRule="exact"/>
              <w:rPr>
                <w:rFonts w:hint="eastAsia" w:ascii="仿宋_GB2312" w:eastAsia="仿宋_GB2312" w:cs="仿宋_GB2312"/>
                <w:color w:val="auto"/>
                <w:szCs w:val="21"/>
              </w:rPr>
            </w:pPr>
            <w:r>
              <w:rPr>
                <w:rFonts w:hint="eastAsia" w:ascii="仿宋_GB2312" w:hAnsi="仿宋_GB2312" w:eastAsia="仿宋_GB2312" w:cs="仿宋_GB2312"/>
                <w:bCs/>
                <w:color w:val="auto"/>
                <w:kern w:val="0"/>
                <w:szCs w:val="21"/>
              </w:rPr>
              <w:t>对</w:t>
            </w:r>
            <w:r>
              <w:rPr>
                <w:rFonts w:hint="eastAsia" w:ascii="仿宋_GB2312" w:hAnsi="仿宋_GB2312" w:eastAsia="仿宋_GB2312" w:cs="仿宋_GB2312"/>
                <w:color w:val="auto"/>
                <w:kern w:val="0"/>
                <w:szCs w:val="21"/>
              </w:rPr>
              <w:t>港澳律师事务所、律师或者其他组织、个人擅自在内地从事法律服务活动或者已被撤销执业许可的代表处或者代表继续在内地从事法律服务活动的处罚</w:t>
            </w:r>
          </w:p>
        </w:tc>
        <w:tc>
          <w:tcPr>
            <w:tcW w:w="791" w:type="dxa"/>
            <w:vAlign w:val="center"/>
          </w:tcPr>
          <w:p>
            <w:pPr>
              <w:rPr>
                <w:rFonts w:hint="eastAsia" w:ascii="仿宋_GB2312" w:eastAsia="仿宋_GB2312" w:cs="仿宋_GB2312"/>
                <w:color w:val="auto"/>
                <w:szCs w:val="21"/>
              </w:rPr>
            </w:pPr>
            <w:r>
              <w:rPr>
                <w:rFonts w:hint="eastAsia" w:ascii="仿宋_GB2312" w:eastAsia="仿宋_GB2312" w:cs="仿宋_GB2312"/>
                <w:color w:val="auto"/>
                <w:szCs w:val="21"/>
              </w:rPr>
              <w:t>0209015000</w:t>
            </w:r>
          </w:p>
        </w:tc>
        <w:tc>
          <w:tcPr>
            <w:tcW w:w="717" w:type="dxa"/>
            <w:vAlign w:val="center"/>
          </w:tcPr>
          <w:p>
            <w:pPr>
              <w:spacing w:line="270" w:lineRule="exact"/>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554" w:type="dxa"/>
            <w:vAlign w:val="center"/>
          </w:tcPr>
          <w:p>
            <w:pPr>
              <w:widowControl/>
              <w:spacing w:line="270" w:lineRule="exact"/>
              <w:ind w:firstLine="420" w:firstLineChars="200"/>
              <w:rPr>
                <w:rStyle w:val="10"/>
                <w:rFonts w:hint="eastAsia" w:ascii="仿宋_GB2312" w:eastAsia="仿宋_GB2312" w:cs="仿宋_GB2312"/>
                <w:b w:val="0"/>
                <w:color w:val="auto"/>
                <w:szCs w:val="21"/>
              </w:rPr>
            </w:pPr>
            <w:r>
              <w:rPr>
                <w:rFonts w:hint="eastAsia" w:ascii="仿宋_GB2312" w:hAnsi="仿宋_GB2312" w:eastAsia="仿宋_GB2312" w:cs="仿宋_GB2312"/>
                <w:color w:val="auto"/>
                <w:szCs w:val="21"/>
              </w:rPr>
              <w:t>【部门规章】《香港、澳门特别行政区律师事务所驻内地代表机构管理办法》（2015年司法部令第131号修正）</w:t>
            </w:r>
          </w:p>
          <w:p>
            <w:pPr>
              <w:spacing w:line="270" w:lineRule="exact"/>
              <w:ind w:firstLine="422" w:firstLineChars="200"/>
              <w:rPr>
                <w:rFonts w:hint="eastAsia" w:ascii="仿宋_GB2312" w:eastAsia="仿宋_GB2312" w:cs="仿宋_GB2312"/>
                <w:color w:val="auto"/>
                <w:szCs w:val="21"/>
                <w:shd w:val="clear" w:color="auto" w:fill="FFFFFF"/>
              </w:rPr>
            </w:pPr>
            <w:r>
              <w:rPr>
                <w:rStyle w:val="10"/>
                <w:rFonts w:hint="eastAsia" w:ascii="仿宋_GB2312" w:hAnsi="仿宋_GB2312" w:eastAsia="仿宋_GB2312" w:cs="仿宋_GB2312"/>
                <w:color w:val="auto"/>
                <w:szCs w:val="21"/>
              </w:rPr>
              <w:t>第三十条</w:t>
            </w:r>
            <w:r>
              <w:rPr>
                <w:rFonts w:hint="eastAsia" w:ascii="仿宋_GB2312" w:hAnsi="仿宋_GB2312" w:eastAsia="仿宋_GB2312" w:cs="仿宋_GB2312"/>
                <w:color w:val="auto"/>
                <w:szCs w:val="21"/>
              </w:rPr>
              <w:t>　港澳律师事务所、律师或者其他组织、个人擅自在内地从事法律服务活动，或者已被撤销执业许可的代表处或者代表继续在内地从事法律服务活动的，由省、自治区、直辖市司法厅(局)予以取缔，没收违法所得，并处5万元以上30万元以下的罚款。</w:t>
            </w:r>
          </w:p>
        </w:tc>
        <w:tc>
          <w:tcPr>
            <w:tcW w:w="910" w:type="dxa"/>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kern w:val="0"/>
                <w:szCs w:val="21"/>
              </w:rPr>
              <w:t>自治区</w:t>
            </w:r>
          </w:p>
        </w:tc>
        <w:tc>
          <w:tcPr>
            <w:tcW w:w="1567" w:type="dxa"/>
            <w:vAlign w:val="center"/>
          </w:tcPr>
          <w:p>
            <w:pPr>
              <w:rPr>
                <w:rFonts w:hint="eastAsia" w:ascii="仿宋_GB2312" w:eastAsia="仿宋_GB2312" w:cs="仿宋_GB2312"/>
                <w:color w:val="auto"/>
                <w:szCs w:val="21"/>
              </w:rPr>
            </w:pPr>
            <w:r>
              <w:rPr>
                <w:rFonts w:hint="eastAsia" w:ascii="仿宋_GB2312" w:hAnsi="仿宋_GB2312" w:eastAsia="仿宋_GB2312" w:cs="仿宋_GB2312"/>
                <w:color w:val="auto"/>
                <w:szCs w:val="21"/>
              </w:rPr>
              <w:t>予以取缔，没收违法所得，并处5万元以上30万元以下的罚款。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6" w:hRule="atLeast"/>
        </w:trPr>
        <w:tc>
          <w:tcPr>
            <w:tcW w:w="704" w:type="dxa"/>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16</w:t>
            </w:r>
          </w:p>
        </w:tc>
        <w:tc>
          <w:tcPr>
            <w:tcW w:w="1619" w:type="dxa"/>
            <w:vAlign w:val="center"/>
          </w:tcPr>
          <w:p>
            <w:pPr>
              <w:spacing w:line="270" w:lineRule="exact"/>
              <w:rPr>
                <w:rFonts w:hint="eastAsia" w:ascii="仿宋_GB2312" w:eastAsia="仿宋_GB2312" w:cs="仿宋_GB2312"/>
                <w:color w:val="auto"/>
                <w:szCs w:val="21"/>
              </w:rPr>
            </w:pPr>
            <w:r>
              <w:rPr>
                <w:rFonts w:hint="eastAsia" w:ascii="仿宋_GB2312" w:hAnsi="仿宋_GB2312" w:eastAsia="仿宋_GB2312" w:cs="仿宋_GB2312"/>
                <w:color w:val="auto"/>
                <w:szCs w:val="21"/>
              </w:rPr>
              <w:t>对香港、澳门律师事务所违反内地法律、法规和规章与内地律师事务所联营的行为的处罚</w:t>
            </w:r>
          </w:p>
        </w:tc>
        <w:tc>
          <w:tcPr>
            <w:tcW w:w="791" w:type="dxa"/>
            <w:vAlign w:val="center"/>
          </w:tcPr>
          <w:p>
            <w:pPr>
              <w:rPr>
                <w:rFonts w:hint="eastAsia" w:ascii="仿宋_GB2312" w:eastAsia="仿宋_GB2312" w:cs="仿宋_GB2312"/>
                <w:color w:val="auto"/>
                <w:szCs w:val="21"/>
              </w:rPr>
            </w:pPr>
            <w:r>
              <w:rPr>
                <w:rFonts w:hint="eastAsia" w:ascii="仿宋_GB2312" w:eastAsia="仿宋_GB2312" w:cs="仿宋_GB2312"/>
                <w:color w:val="auto"/>
                <w:szCs w:val="21"/>
              </w:rPr>
              <w:t>0209016000</w:t>
            </w:r>
          </w:p>
        </w:tc>
        <w:tc>
          <w:tcPr>
            <w:tcW w:w="717" w:type="dxa"/>
            <w:vAlign w:val="center"/>
          </w:tcPr>
          <w:p>
            <w:pPr>
              <w:spacing w:line="270" w:lineRule="exact"/>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554" w:type="dxa"/>
            <w:vAlign w:val="center"/>
          </w:tcPr>
          <w:p>
            <w:pPr>
              <w:spacing w:line="270" w:lineRule="exact"/>
              <w:ind w:firstLine="422" w:firstLineChars="200"/>
              <w:rPr>
                <w:rFonts w:hint="eastAsia" w:ascii="仿宋_GB2312" w:eastAsia="仿宋_GB2312" w:cs="仿宋_GB2312"/>
                <w:color w:val="auto"/>
                <w:szCs w:val="21"/>
              </w:rPr>
            </w:pPr>
            <w:r>
              <w:rPr>
                <w:rStyle w:val="10"/>
                <w:rFonts w:hint="eastAsia" w:ascii="仿宋_GB2312" w:hAnsi="仿宋_GB2312" w:eastAsia="仿宋_GB2312" w:cs="仿宋_GB2312"/>
                <w:color w:val="auto"/>
                <w:szCs w:val="21"/>
              </w:rPr>
              <w:t>【部门规章】</w:t>
            </w:r>
            <w:r>
              <w:rPr>
                <w:rFonts w:hint="eastAsia" w:ascii="仿宋_GB2312" w:hAnsi="仿宋_GB2312" w:eastAsia="仿宋_GB2312" w:cs="仿宋_GB2312"/>
                <w:color w:val="auto"/>
                <w:szCs w:val="21"/>
              </w:rPr>
              <w:t>《香港特别行政区和澳门特别行政区律师事务所与内地律师事务所联营管理办法》（2012年司法部令第126号修正）</w:t>
            </w:r>
          </w:p>
          <w:p>
            <w:pPr>
              <w:spacing w:line="270" w:lineRule="exact"/>
              <w:ind w:firstLine="422" w:firstLineChars="200"/>
              <w:rPr>
                <w:rFonts w:hint="eastAsia" w:ascii="仿宋_GB2312" w:eastAsia="仿宋_GB2312" w:cs="仿宋_GB2312"/>
                <w:color w:val="auto"/>
                <w:szCs w:val="21"/>
                <w:shd w:val="clear" w:color="auto" w:fill="FFFFFF"/>
              </w:rPr>
            </w:pPr>
            <w:r>
              <w:rPr>
                <w:rStyle w:val="10"/>
                <w:rFonts w:hint="eastAsia" w:ascii="仿宋_GB2312" w:hAnsi="仿宋_GB2312" w:eastAsia="仿宋_GB2312" w:cs="仿宋_GB2312"/>
                <w:color w:val="auto"/>
                <w:szCs w:val="21"/>
              </w:rPr>
              <w:t>第二十三条</w:t>
            </w:r>
            <w:r>
              <w:rPr>
                <w:rFonts w:hint="eastAsia" w:ascii="仿宋_GB2312" w:hAnsi="仿宋_GB2312" w:eastAsia="仿宋_GB2312" w:cs="仿宋_GB2312"/>
                <w:color w:val="auto"/>
                <w:szCs w:val="21"/>
              </w:rPr>
              <w:t>　香港、澳门律师事务所与内地律师事务所联营，有违反内地法律、法规和规章及本办法规定的行为的，由省级司法行政机关给予警告，责令限期改正；逾期不改正的，处1万元以下罚款；有违法所得的，处违法所得1倍以上3倍以下罚款，但罚款最高不得超过3万元。</w:t>
            </w:r>
          </w:p>
        </w:tc>
        <w:tc>
          <w:tcPr>
            <w:tcW w:w="910" w:type="dxa"/>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kern w:val="0"/>
                <w:szCs w:val="21"/>
              </w:rPr>
              <w:t>自治区</w:t>
            </w:r>
          </w:p>
        </w:tc>
        <w:tc>
          <w:tcPr>
            <w:tcW w:w="1567" w:type="dxa"/>
            <w:vAlign w:val="center"/>
          </w:tcPr>
          <w:p>
            <w:pPr>
              <w:rPr>
                <w:rFonts w:hint="eastAsia" w:ascii="仿宋_GB2312" w:eastAsia="仿宋_GB2312" w:cs="仿宋_GB2312"/>
                <w:color w:val="auto"/>
                <w:szCs w:val="21"/>
              </w:rPr>
            </w:pPr>
            <w:r>
              <w:rPr>
                <w:rFonts w:hint="eastAsia" w:ascii="仿宋_GB2312" w:hAnsi="仿宋_GB2312" w:eastAsia="仿宋_GB2312" w:cs="仿宋_GB2312"/>
                <w:color w:val="auto"/>
                <w:szCs w:val="21"/>
              </w:rPr>
              <w:t>给予警告；处1万元以下罚款；有违法所得的，处违法所得1倍以上3倍以下罚款，但罚款最高不得超过3万元。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4" w:hRule="atLeast"/>
        </w:trPr>
        <w:tc>
          <w:tcPr>
            <w:tcW w:w="704" w:type="dxa"/>
            <w:vMerge w:val="restart"/>
            <w:vAlign w:val="center"/>
          </w:tcPr>
          <w:p>
            <w:pPr>
              <w:tabs>
                <w:tab w:val="left" w:pos="262"/>
              </w:tabs>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17</w:t>
            </w:r>
          </w:p>
        </w:tc>
        <w:tc>
          <w:tcPr>
            <w:tcW w:w="1619" w:type="dxa"/>
            <w:vMerge w:val="restart"/>
            <w:vAlign w:val="center"/>
          </w:tcPr>
          <w:p>
            <w:pPr>
              <w:spacing w:line="270" w:lineRule="exact"/>
              <w:rPr>
                <w:rFonts w:hint="eastAsia" w:ascii="仿宋_GB2312" w:eastAsia="仿宋_GB2312" w:cs="仿宋_GB2312"/>
                <w:color w:val="auto"/>
                <w:szCs w:val="21"/>
              </w:rPr>
            </w:pPr>
            <w:r>
              <w:rPr>
                <w:rFonts w:hint="eastAsia" w:ascii="仿宋_GB2312" w:hAnsi="仿宋_GB2312" w:eastAsia="仿宋_GB2312" w:cs="仿宋_GB2312"/>
                <w:color w:val="auto"/>
                <w:kern w:val="0"/>
                <w:szCs w:val="21"/>
              </w:rPr>
              <w:t>对公证机构及其公证员采取不正当手段争揽公证业务、违反规定的收费标准收取公证费等行为的处罚</w:t>
            </w:r>
          </w:p>
        </w:tc>
        <w:tc>
          <w:tcPr>
            <w:tcW w:w="791" w:type="dxa"/>
            <w:vMerge w:val="restart"/>
            <w:vAlign w:val="center"/>
          </w:tcPr>
          <w:p>
            <w:pPr>
              <w:rPr>
                <w:rFonts w:hint="eastAsia" w:ascii="仿宋_GB2312" w:eastAsia="仿宋_GB2312" w:cs="仿宋_GB2312"/>
                <w:color w:val="auto"/>
                <w:szCs w:val="21"/>
              </w:rPr>
            </w:pPr>
            <w:r>
              <w:rPr>
                <w:rFonts w:hint="eastAsia" w:ascii="仿宋_GB2312" w:eastAsia="仿宋_GB2312" w:cs="仿宋_GB2312"/>
                <w:color w:val="auto"/>
                <w:szCs w:val="21"/>
              </w:rPr>
              <w:t>0209017000</w:t>
            </w:r>
          </w:p>
        </w:tc>
        <w:tc>
          <w:tcPr>
            <w:tcW w:w="717" w:type="dxa"/>
            <w:vMerge w:val="restart"/>
            <w:vAlign w:val="center"/>
          </w:tcPr>
          <w:p>
            <w:pPr>
              <w:spacing w:line="270" w:lineRule="exact"/>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554" w:type="dxa"/>
            <w:vMerge w:val="restart"/>
            <w:vAlign w:val="center"/>
          </w:tcPr>
          <w:p>
            <w:pPr>
              <w:widowControl/>
              <w:spacing w:line="270" w:lineRule="exact"/>
              <w:ind w:firstLine="420" w:firstLineChars="200"/>
              <w:rPr>
                <w:rFonts w:hint="eastAsia" w:ascii="仿宋_GB2312" w:eastAsia="仿宋_GB2312" w:cs="仿宋_GB2312"/>
                <w:color w:val="auto"/>
                <w:kern w:val="0"/>
                <w:szCs w:val="21"/>
              </w:rPr>
            </w:pPr>
            <w:r>
              <w:rPr>
                <w:rFonts w:hint="eastAsia" w:ascii="仿宋_GB2312" w:hAnsi="仿宋_GB2312" w:eastAsia="仿宋_GB2312" w:cs="仿宋_GB2312"/>
                <w:color w:val="auto"/>
                <w:kern w:val="0"/>
                <w:szCs w:val="21"/>
              </w:rPr>
              <w:t>【法律】《中华人民共和国公证法》（2017年修正）</w:t>
            </w:r>
          </w:p>
          <w:p>
            <w:pPr>
              <w:spacing w:line="270" w:lineRule="exact"/>
              <w:ind w:firstLine="420" w:firstLineChars="200"/>
              <w:rPr>
                <w:rFonts w:hint="eastAsia" w:ascii="仿宋_GB2312" w:eastAsia="仿宋_GB2312" w:cs="仿宋_GB2312"/>
                <w:color w:val="auto"/>
                <w:szCs w:val="21"/>
                <w:shd w:val="clear" w:color="auto" w:fill="FFFFFF"/>
              </w:rPr>
            </w:pPr>
            <w:r>
              <w:rPr>
                <w:rFonts w:hint="eastAsia" w:ascii="仿宋_GB2312" w:hAnsi="仿宋_GB2312" w:eastAsia="仿宋_GB2312" w:cs="仿宋_GB2312"/>
                <w:color w:val="auto"/>
                <w:kern w:val="0"/>
                <w:szCs w:val="21"/>
              </w:rPr>
              <w:t>第四十一条　公证机构及其公证员有下列行为之一的，由省、自治区、直辖市或者设区的市人民政府司法行政部门给予警告；情节严重的，对公证机构处一万元以上五万元以下罚款，对公证员处一千元以上五千元以下罚款，并可以给予三个月以上六个月以下停止执业的处罚；有违法所得的，没收违法所得：（一）以诋毁其他公证机构、公证员或者支付回扣、佣金等不正当手段争揽公证业务的；（二）违反规定的收费标准收取公证费的；（三）同时在二个以上公证机构执业的；（四）从事有报酬的其他职业的；（五）为本人及近亲属办理公证或者办理与本人及近亲属有利害关系的公证的； （六）依照法律、行政法规的规定，应当给予处罚的其他行为。</w:t>
            </w:r>
          </w:p>
        </w:tc>
        <w:tc>
          <w:tcPr>
            <w:tcW w:w="910" w:type="dxa"/>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自治区</w:t>
            </w:r>
          </w:p>
        </w:tc>
        <w:tc>
          <w:tcPr>
            <w:tcW w:w="1567" w:type="dxa"/>
            <w:vAlign w:val="center"/>
          </w:tcPr>
          <w:p>
            <w:pPr>
              <w:spacing w:line="260" w:lineRule="exact"/>
              <w:rPr>
                <w:rFonts w:hint="eastAsia" w:ascii="仿宋_GB2312" w:eastAsia="仿宋_GB2312" w:cs="仿宋_GB2312"/>
                <w:color w:val="auto"/>
                <w:szCs w:val="21"/>
              </w:rPr>
            </w:pPr>
            <w:r>
              <w:rPr>
                <w:rFonts w:hint="eastAsia" w:ascii="仿宋_GB2312" w:hAnsi="仿宋_GB2312" w:eastAsia="仿宋_GB2312" w:cs="仿宋_GB2312"/>
                <w:color w:val="auto"/>
                <w:kern w:val="0"/>
                <w:szCs w:val="21"/>
              </w:rPr>
              <w:t>给予警告；对公证机构处一万元以上五万元以下罚款，对公证员处一千元以上五千元以下罚款，并可以给予三个月以上六个月以下停止执业的处罚；有违法所得的，没收违法所得。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0" w:hRule="atLeast"/>
        </w:trPr>
        <w:tc>
          <w:tcPr>
            <w:tcW w:w="704" w:type="dxa"/>
            <w:vMerge w:val="continue"/>
            <w:vAlign w:val="center"/>
          </w:tcPr>
          <w:p>
            <w:pPr>
              <w:jc w:val="left"/>
              <w:rPr>
                <w:rFonts w:hint="eastAsia" w:ascii="仿宋_GB2312" w:eastAsia="仿宋_GB2312"/>
                <w:color w:val="auto"/>
              </w:rPr>
            </w:pPr>
          </w:p>
        </w:tc>
        <w:tc>
          <w:tcPr>
            <w:tcW w:w="1619" w:type="dxa"/>
            <w:vMerge w:val="continue"/>
            <w:vAlign w:val="center"/>
          </w:tcPr>
          <w:p>
            <w:pPr>
              <w:jc w:val="left"/>
              <w:rPr>
                <w:rFonts w:hint="eastAsia" w:ascii="仿宋_GB2312" w:eastAsia="仿宋_GB2312"/>
                <w:color w:val="auto"/>
              </w:rPr>
            </w:pPr>
          </w:p>
        </w:tc>
        <w:tc>
          <w:tcPr>
            <w:tcW w:w="791" w:type="dxa"/>
            <w:vMerge w:val="continue"/>
            <w:vAlign w:val="center"/>
          </w:tcPr>
          <w:p>
            <w:pPr>
              <w:rPr>
                <w:rFonts w:hint="eastAsia" w:ascii="仿宋_GB2312" w:eastAsia="仿宋_GB2312"/>
                <w:color w:val="auto"/>
              </w:rPr>
            </w:pPr>
          </w:p>
        </w:tc>
        <w:tc>
          <w:tcPr>
            <w:tcW w:w="717" w:type="dxa"/>
            <w:vMerge w:val="continue"/>
            <w:vAlign w:val="center"/>
          </w:tcPr>
          <w:p>
            <w:pPr>
              <w:jc w:val="left"/>
              <w:rPr>
                <w:rFonts w:hint="eastAsia" w:ascii="仿宋_GB2312" w:eastAsia="仿宋_GB2312"/>
                <w:color w:val="auto"/>
              </w:rPr>
            </w:pPr>
          </w:p>
        </w:tc>
        <w:tc>
          <w:tcPr>
            <w:tcW w:w="7554" w:type="dxa"/>
            <w:vMerge w:val="continue"/>
            <w:vAlign w:val="center"/>
          </w:tcPr>
          <w:p>
            <w:pPr>
              <w:rPr>
                <w:rFonts w:hint="eastAsia" w:ascii="仿宋_GB2312" w:eastAsia="仿宋_GB2312"/>
                <w:color w:val="auto"/>
              </w:rPr>
            </w:pPr>
          </w:p>
        </w:tc>
        <w:tc>
          <w:tcPr>
            <w:tcW w:w="910" w:type="dxa"/>
            <w:vAlign w:val="center"/>
          </w:tcPr>
          <w:p>
            <w:pPr>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设区</w:t>
            </w:r>
          </w:p>
          <w:p>
            <w:pPr>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的市</w:t>
            </w:r>
          </w:p>
        </w:tc>
        <w:tc>
          <w:tcPr>
            <w:tcW w:w="1567" w:type="dxa"/>
            <w:vAlign w:val="center"/>
          </w:tcPr>
          <w:p>
            <w:pPr>
              <w:spacing w:line="260" w:lineRule="exact"/>
              <w:jc w:val="left"/>
              <w:rPr>
                <w:rFonts w:hint="eastAsia" w:ascii="仿宋_GB2312" w:eastAsia="仿宋_GB2312" w:cs="仿宋_GB2312"/>
                <w:color w:val="auto"/>
                <w:szCs w:val="21"/>
              </w:rPr>
            </w:pPr>
            <w:r>
              <w:rPr>
                <w:rFonts w:hint="eastAsia" w:ascii="仿宋_GB2312" w:hAnsi="仿宋_GB2312" w:eastAsia="仿宋_GB2312" w:cs="仿宋_GB2312"/>
                <w:color w:val="auto"/>
                <w:kern w:val="0"/>
                <w:szCs w:val="21"/>
              </w:rPr>
              <w:t>给予警告；对公证机构处一万元以上五万元以下罚款，对公证员处一千元以上五千元以下罚款，并可以给予三个月以上六个月以下停止执业的处罚；有违法所得的，没收违法所得。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0" w:hRule="atLeast"/>
        </w:trPr>
        <w:tc>
          <w:tcPr>
            <w:tcW w:w="704" w:type="dxa"/>
            <w:vMerge w:val="restart"/>
            <w:vAlign w:val="center"/>
          </w:tcPr>
          <w:p>
            <w:pPr>
              <w:tabs>
                <w:tab w:val="left" w:pos="262"/>
              </w:tabs>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18</w:t>
            </w:r>
          </w:p>
        </w:tc>
        <w:tc>
          <w:tcPr>
            <w:tcW w:w="1619" w:type="dxa"/>
            <w:vMerge w:val="restart"/>
            <w:vAlign w:val="center"/>
          </w:tcPr>
          <w:p>
            <w:pPr>
              <w:spacing w:line="270" w:lineRule="exact"/>
              <w:rPr>
                <w:rFonts w:hint="eastAsia" w:ascii="仿宋_GB2312" w:eastAsia="仿宋_GB2312" w:cs="仿宋_GB2312"/>
                <w:color w:val="auto"/>
                <w:szCs w:val="21"/>
              </w:rPr>
            </w:pPr>
            <w:r>
              <w:rPr>
                <w:rFonts w:hint="eastAsia" w:ascii="仿宋_GB2312" w:hAnsi="仿宋_GB2312" w:eastAsia="仿宋_GB2312" w:cs="仿宋_GB2312"/>
                <w:color w:val="auto"/>
                <w:kern w:val="0"/>
                <w:szCs w:val="21"/>
              </w:rPr>
              <w:t>对公证机构及其公证员有私自出具公证书、为不真实或不合法的事项出具公证书等行为的处罚</w:t>
            </w:r>
          </w:p>
        </w:tc>
        <w:tc>
          <w:tcPr>
            <w:tcW w:w="791" w:type="dxa"/>
            <w:vMerge w:val="restart"/>
            <w:vAlign w:val="center"/>
          </w:tcPr>
          <w:p>
            <w:pPr>
              <w:rPr>
                <w:rFonts w:hint="eastAsia" w:ascii="仿宋_GB2312" w:eastAsia="仿宋_GB2312" w:cs="仿宋_GB2312"/>
                <w:color w:val="auto"/>
                <w:szCs w:val="21"/>
              </w:rPr>
            </w:pPr>
            <w:r>
              <w:rPr>
                <w:rFonts w:hint="eastAsia" w:ascii="仿宋_GB2312" w:eastAsia="仿宋_GB2312" w:cs="仿宋_GB2312"/>
                <w:color w:val="auto"/>
                <w:szCs w:val="21"/>
              </w:rPr>
              <w:t>0209018000</w:t>
            </w:r>
          </w:p>
        </w:tc>
        <w:tc>
          <w:tcPr>
            <w:tcW w:w="717" w:type="dxa"/>
            <w:vMerge w:val="restart"/>
            <w:vAlign w:val="center"/>
          </w:tcPr>
          <w:p>
            <w:pPr>
              <w:spacing w:line="270" w:lineRule="exact"/>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554" w:type="dxa"/>
            <w:vMerge w:val="restart"/>
            <w:vAlign w:val="center"/>
          </w:tcPr>
          <w:p>
            <w:pPr>
              <w:widowControl/>
              <w:spacing w:line="270" w:lineRule="exact"/>
              <w:ind w:firstLine="420" w:firstLineChars="200"/>
              <w:jc w:val="both"/>
              <w:rPr>
                <w:rFonts w:hint="eastAsia" w:ascii="仿宋_GB2312" w:eastAsia="仿宋_GB2312" w:cs="仿宋_GB2312"/>
                <w:color w:val="auto"/>
                <w:kern w:val="0"/>
                <w:szCs w:val="21"/>
              </w:rPr>
            </w:pPr>
            <w:r>
              <w:rPr>
                <w:rFonts w:hint="eastAsia" w:ascii="仿宋_GB2312" w:hAnsi="仿宋_GB2312" w:eastAsia="仿宋_GB2312" w:cs="仿宋_GB2312"/>
                <w:color w:val="auto"/>
                <w:kern w:val="0"/>
                <w:szCs w:val="21"/>
              </w:rPr>
              <w:t>【法律】《中华人民共和国公证法》（2017年修正）</w:t>
            </w:r>
          </w:p>
          <w:p>
            <w:pPr>
              <w:widowControl/>
              <w:spacing w:line="270" w:lineRule="exact"/>
              <w:ind w:firstLine="420" w:firstLineChars="200"/>
              <w:jc w:val="both"/>
              <w:rPr>
                <w:rFonts w:hint="eastAsia" w:ascii="仿宋_GB2312" w:eastAsia="仿宋_GB2312" w:cs="仿宋_GB2312"/>
                <w:color w:val="auto"/>
                <w:kern w:val="0"/>
                <w:szCs w:val="21"/>
              </w:rPr>
            </w:pPr>
            <w:r>
              <w:rPr>
                <w:rFonts w:hint="eastAsia" w:ascii="仿宋_GB2312" w:hAnsi="仿宋_GB2312" w:eastAsia="仿宋_GB2312" w:cs="仿宋_GB2312"/>
                <w:color w:val="auto"/>
                <w:kern w:val="0"/>
                <w:szCs w:val="21"/>
              </w:rPr>
              <w:t>第四十二条　公证机构及其公证员有下列行为之一的，由省、自治区、直辖市或者设区的市人民政府司法行政部门对公证机构给予警告，并处二万元以上十万元以下罚款，并可以给予一个月以上三个月以下停业整顿的处罚；对公证员给予警告，并处二千元以上一万元以下罚款，并可以给予三个月以上十二个月以下停止执业的处罚；有违法所得的，没收违法所得；情节严重的，由省、自治区、直辖市人民政府司法行政部门吊销公证员执业证书；构成犯罪的，依法追究刑事责任：（一）私自出具公证书的；（二）为不真实、不合法的事项出具公证书的；（三）侵占、挪用公证费或者侵占、盗窃公证专用物品的；（四）毁损、篡改公证文书或者公证档案的；（五）泄露在执业活动中知悉的国家秘密、商业秘密或者个人隐私的；（六）依照法律、行政法规的规定，应当给予处罚的其他行为。</w:t>
            </w:r>
          </w:p>
          <w:p>
            <w:pPr>
              <w:spacing w:line="270" w:lineRule="exact"/>
              <w:ind w:firstLine="420" w:firstLineChars="200"/>
              <w:jc w:val="both"/>
              <w:rPr>
                <w:rFonts w:hint="eastAsia" w:ascii="仿宋_GB2312" w:eastAsia="仿宋_GB2312" w:cs="仿宋_GB2312"/>
                <w:color w:val="auto"/>
                <w:szCs w:val="21"/>
                <w:shd w:val="clear" w:color="auto" w:fill="FFFFFF"/>
              </w:rPr>
            </w:pPr>
            <w:r>
              <w:rPr>
                <w:rFonts w:hint="eastAsia" w:ascii="仿宋_GB2312" w:hAnsi="仿宋_GB2312" w:eastAsia="仿宋_GB2312" w:cs="仿宋_GB2312"/>
                <w:color w:val="auto"/>
                <w:kern w:val="0"/>
                <w:szCs w:val="21"/>
              </w:rPr>
              <w:t>因故意犯罪或者职务过失犯罪受刑事处罚的，应当吊销公证员执业证书。</w:t>
            </w:r>
          </w:p>
        </w:tc>
        <w:tc>
          <w:tcPr>
            <w:tcW w:w="910" w:type="dxa"/>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自治区</w:t>
            </w:r>
          </w:p>
        </w:tc>
        <w:tc>
          <w:tcPr>
            <w:tcW w:w="1567" w:type="dxa"/>
            <w:vAlign w:val="center"/>
          </w:tcPr>
          <w:p>
            <w:pPr>
              <w:spacing w:line="270" w:lineRule="exact"/>
              <w:rPr>
                <w:rFonts w:hint="eastAsia" w:ascii="仿宋_GB2312" w:eastAsia="仿宋_GB2312" w:cs="仿宋_GB2312"/>
                <w:color w:val="auto"/>
                <w:szCs w:val="21"/>
              </w:rPr>
            </w:pPr>
            <w:r>
              <w:rPr>
                <w:rFonts w:hint="eastAsia" w:ascii="仿宋_GB2312" w:hAnsi="仿宋_GB2312" w:eastAsia="仿宋_GB2312" w:cs="仿宋_GB2312"/>
                <w:color w:val="auto"/>
                <w:kern w:val="0"/>
                <w:szCs w:val="21"/>
              </w:rPr>
              <w:t>对公证机构给予警告，并处二万元以上十万元以下罚款，并可以给予一个月以上三个月以下停业整顿的处罚；对公证员给予警告，并处二千元以上一万元以下罚款，并可以给予三个月以上十二个月以下停止执业的处罚；有违法所得的，没收违法所得；吊销公证员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0" w:hRule="atLeast"/>
        </w:trPr>
        <w:tc>
          <w:tcPr>
            <w:tcW w:w="704" w:type="dxa"/>
            <w:vMerge w:val="continue"/>
            <w:vAlign w:val="center"/>
          </w:tcPr>
          <w:p>
            <w:pPr>
              <w:jc w:val="left"/>
              <w:rPr>
                <w:rFonts w:hint="eastAsia" w:ascii="仿宋_GB2312" w:eastAsia="仿宋_GB2312"/>
                <w:color w:val="auto"/>
              </w:rPr>
            </w:pPr>
          </w:p>
        </w:tc>
        <w:tc>
          <w:tcPr>
            <w:tcW w:w="1619" w:type="dxa"/>
            <w:vMerge w:val="continue"/>
            <w:vAlign w:val="center"/>
          </w:tcPr>
          <w:p>
            <w:pPr>
              <w:jc w:val="left"/>
              <w:rPr>
                <w:rFonts w:hint="eastAsia" w:ascii="仿宋_GB2312" w:eastAsia="仿宋_GB2312"/>
                <w:color w:val="auto"/>
              </w:rPr>
            </w:pPr>
          </w:p>
        </w:tc>
        <w:tc>
          <w:tcPr>
            <w:tcW w:w="791" w:type="dxa"/>
            <w:vMerge w:val="continue"/>
            <w:vAlign w:val="center"/>
          </w:tcPr>
          <w:p>
            <w:pPr>
              <w:rPr>
                <w:rFonts w:hint="eastAsia" w:ascii="仿宋_GB2312" w:eastAsia="仿宋_GB2312"/>
                <w:color w:val="auto"/>
              </w:rPr>
            </w:pPr>
          </w:p>
        </w:tc>
        <w:tc>
          <w:tcPr>
            <w:tcW w:w="717" w:type="dxa"/>
            <w:vMerge w:val="continue"/>
            <w:vAlign w:val="center"/>
          </w:tcPr>
          <w:p>
            <w:pPr>
              <w:jc w:val="left"/>
              <w:rPr>
                <w:rFonts w:hint="eastAsia" w:ascii="仿宋_GB2312" w:eastAsia="仿宋_GB2312"/>
                <w:color w:val="auto"/>
              </w:rPr>
            </w:pPr>
          </w:p>
        </w:tc>
        <w:tc>
          <w:tcPr>
            <w:tcW w:w="7554" w:type="dxa"/>
            <w:vMerge w:val="continue"/>
            <w:vAlign w:val="center"/>
          </w:tcPr>
          <w:p>
            <w:pPr>
              <w:rPr>
                <w:rFonts w:hint="eastAsia" w:ascii="仿宋_GB2312" w:eastAsia="仿宋_GB2312"/>
                <w:color w:val="auto"/>
              </w:rPr>
            </w:pPr>
          </w:p>
        </w:tc>
        <w:tc>
          <w:tcPr>
            <w:tcW w:w="910" w:type="dxa"/>
            <w:vAlign w:val="center"/>
          </w:tcPr>
          <w:p>
            <w:pPr>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设区</w:t>
            </w:r>
          </w:p>
          <w:p>
            <w:pPr>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的市</w:t>
            </w:r>
          </w:p>
        </w:tc>
        <w:tc>
          <w:tcPr>
            <w:tcW w:w="1567" w:type="dxa"/>
            <w:vAlign w:val="center"/>
          </w:tcPr>
          <w:p>
            <w:pPr>
              <w:spacing w:line="270" w:lineRule="exact"/>
              <w:rPr>
                <w:rFonts w:hint="eastAsia" w:ascii="仿宋_GB2312" w:eastAsia="仿宋_GB2312" w:cs="仿宋_GB2312"/>
                <w:color w:val="auto"/>
                <w:szCs w:val="21"/>
              </w:rPr>
            </w:pPr>
            <w:r>
              <w:rPr>
                <w:rFonts w:hint="eastAsia" w:ascii="仿宋_GB2312" w:hAnsi="仿宋_GB2312" w:eastAsia="仿宋_GB2312" w:cs="仿宋_GB2312"/>
                <w:color w:val="auto"/>
                <w:kern w:val="0"/>
                <w:szCs w:val="21"/>
              </w:rPr>
              <w:t>对公证机构给予警告，并处二万元以上十万元以下罚款，并可以给予一个月以上三个月以下停业整顿的处罚；对公证员给予警告，并处二千元以上一万元以下罚款，并可以给予三个月以上十二个月以下停止执业的处罚；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0" w:hRule="atLeast"/>
        </w:trPr>
        <w:tc>
          <w:tcPr>
            <w:tcW w:w="704" w:type="dxa"/>
            <w:vAlign w:val="center"/>
          </w:tcPr>
          <w:p>
            <w:pPr>
              <w:tabs>
                <w:tab w:val="left" w:pos="262"/>
              </w:tabs>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19</w:t>
            </w:r>
          </w:p>
        </w:tc>
        <w:tc>
          <w:tcPr>
            <w:tcW w:w="1619" w:type="dxa"/>
            <w:vAlign w:val="center"/>
          </w:tcPr>
          <w:p>
            <w:pPr>
              <w:spacing w:line="270" w:lineRule="exact"/>
              <w:rPr>
                <w:rFonts w:hint="eastAsia" w:ascii="仿宋_GB2312" w:eastAsia="仿宋_GB2312" w:cs="仿宋_GB2312"/>
                <w:color w:val="auto"/>
                <w:szCs w:val="21"/>
              </w:rPr>
            </w:pPr>
            <w:r>
              <w:rPr>
                <w:rFonts w:hint="eastAsia" w:ascii="仿宋_GB2312" w:hAnsi="仿宋_GB2312" w:eastAsia="仿宋_GB2312" w:cs="仿宋_GB2312"/>
                <w:color w:val="auto"/>
                <w:szCs w:val="21"/>
              </w:rPr>
              <w:t>对司法鉴定人或者鉴定机构因严重不负责任给当事人合法权益造成重大损失、因严重不负责任给当事人合法权益造成重大损失的等行为的处罚</w:t>
            </w:r>
          </w:p>
        </w:tc>
        <w:tc>
          <w:tcPr>
            <w:tcW w:w="791" w:type="dxa"/>
            <w:vAlign w:val="center"/>
          </w:tcPr>
          <w:p>
            <w:pPr>
              <w:rPr>
                <w:rFonts w:hint="eastAsia" w:ascii="仿宋_GB2312" w:eastAsia="仿宋_GB2312" w:cs="仿宋_GB2312"/>
                <w:color w:val="auto"/>
                <w:szCs w:val="21"/>
              </w:rPr>
            </w:pPr>
            <w:r>
              <w:rPr>
                <w:rFonts w:hint="eastAsia" w:ascii="仿宋_GB2312" w:eastAsia="仿宋_GB2312" w:cs="仿宋_GB2312"/>
                <w:color w:val="auto"/>
                <w:szCs w:val="21"/>
              </w:rPr>
              <w:t>0209019000</w:t>
            </w:r>
          </w:p>
        </w:tc>
        <w:tc>
          <w:tcPr>
            <w:tcW w:w="717" w:type="dxa"/>
            <w:vAlign w:val="center"/>
          </w:tcPr>
          <w:p>
            <w:pPr>
              <w:spacing w:line="270" w:lineRule="exact"/>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554" w:type="dxa"/>
            <w:vAlign w:val="center"/>
          </w:tcPr>
          <w:p>
            <w:pPr>
              <w:spacing w:line="27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【法律】《全国人民代表大会常务委员会关于司法鉴定管理问题的决定》（2015年修正）</w:t>
            </w:r>
          </w:p>
          <w:p>
            <w:pPr>
              <w:spacing w:line="27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十三  鉴定人或者鉴定机构有违反本决定规定行为的，由省级人民政府司法行政部门予以警告，责令改正。</w:t>
            </w:r>
          </w:p>
          <w:p>
            <w:pPr>
              <w:spacing w:line="270" w:lineRule="exact"/>
              <w:ind w:firstLine="360"/>
              <w:rPr>
                <w:rFonts w:hint="eastAsia" w:ascii="仿宋_GB2312" w:eastAsia="仿宋_GB2312" w:cs="仿宋_GB2312"/>
                <w:color w:val="auto"/>
                <w:szCs w:val="21"/>
              </w:rPr>
            </w:pPr>
            <w:r>
              <w:rPr>
                <w:rFonts w:hint="eastAsia" w:ascii="仿宋_GB2312" w:hAnsi="仿宋_GB2312" w:eastAsia="仿宋_GB2312" w:cs="仿宋_GB2312"/>
                <w:color w:val="auto"/>
                <w:szCs w:val="21"/>
              </w:rPr>
              <w:t>鉴定人或者鉴定机构有下列情形之一的，由省级人民政府司法行政部门给予停止从事司法鉴定业务三个月以上一年以下的处罚；情节严重的，撤销登记：（一）因严重不负责任给当事人合法权益造成重大损失的；（二）提供虚假证明文件或者采取其他欺诈手段，骗取登记的；（三）经人民法院依法通知，拒绝出庭作证的；（四）法律、行政法规规定的其他情形。</w:t>
            </w:r>
          </w:p>
          <w:p>
            <w:pPr>
              <w:spacing w:line="270" w:lineRule="exact"/>
              <w:ind w:firstLine="420" w:firstLineChars="200"/>
              <w:rPr>
                <w:rFonts w:hint="eastAsia" w:ascii="仿宋_GB2312" w:eastAsia="仿宋_GB2312" w:cs="仿宋_GB2312"/>
                <w:color w:val="auto"/>
                <w:szCs w:val="21"/>
                <w:shd w:val="clear" w:color="auto" w:fill="FFFFFF"/>
              </w:rPr>
            </w:pPr>
            <w:r>
              <w:rPr>
                <w:rFonts w:hint="eastAsia" w:ascii="仿宋_GB2312" w:hAnsi="仿宋_GB2312" w:eastAsia="仿宋_GB2312" w:cs="仿宋_GB2312"/>
                <w:color w:val="auto"/>
                <w:szCs w:val="21"/>
              </w:rPr>
              <w:t>鉴定人故意作虚假鉴定，构成犯罪的，依法追究刑事责任；尚不构成犯罪的，依照前款规定处罚。</w:t>
            </w:r>
          </w:p>
        </w:tc>
        <w:tc>
          <w:tcPr>
            <w:tcW w:w="910" w:type="dxa"/>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kern w:val="0"/>
                <w:szCs w:val="21"/>
              </w:rPr>
              <w:t>自治区</w:t>
            </w:r>
          </w:p>
        </w:tc>
        <w:tc>
          <w:tcPr>
            <w:tcW w:w="1567" w:type="dxa"/>
            <w:vAlign w:val="center"/>
          </w:tcPr>
          <w:p>
            <w:pPr>
              <w:rPr>
                <w:rFonts w:hint="eastAsia" w:ascii="仿宋_GB2312" w:eastAsia="仿宋_GB2312" w:cs="仿宋_GB2312"/>
                <w:color w:val="auto"/>
                <w:szCs w:val="21"/>
              </w:rPr>
            </w:pPr>
            <w:r>
              <w:rPr>
                <w:rFonts w:hint="eastAsia" w:ascii="仿宋_GB2312" w:hAnsi="仿宋_GB2312" w:eastAsia="仿宋_GB2312" w:cs="仿宋_GB2312"/>
                <w:color w:val="auto"/>
                <w:szCs w:val="21"/>
              </w:rPr>
              <w:t>对鉴定人或者鉴定机构予以警告；给予停止从事司法鉴定业务三个月以上一年以下的处罚；撤销登记。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4" w:type="dxa"/>
            <w:vAlign w:val="center"/>
          </w:tcPr>
          <w:p>
            <w:pPr>
              <w:tabs>
                <w:tab w:val="left" w:pos="262"/>
              </w:tabs>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20</w:t>
            </w:r>
          </w:p>
        </w:tc>
        <w:tc>
          <w:tcPr>
            <w:tcW w:w="1619" w:type="dxa"/>
            <w:vAlign w:val="center"/>
          </w:tcPr>
          <w:p>
            <w:pPr>
              <w:spacing w:line="270" w:lineRule="exact"/>
              <w:rPr>
                <w:rFonts w:hint="eastAsia" w:ascii="仿宋_GB2312" w:eastAsia="仿宋_GB2312" w:cs="仿宋_GB2312"/>
                <w:color w:val="auto"/>
                <w:szCs w:val="21"/>
              </w:rPr>
            </w:pPr>
            <w:r>
              <w:rPr>
                <w:rFonts w:hint="eastAsia" w:ascii="仿宋_GB2312" w:hAnsi="仿宋_GB2312" w:eastAsia="仿宋_GB2312" w:cs="仿宋_GB2312"/>
                <w:color w:val="auto"/>
                <w:kern w:val="0"/>
                <w:szCs w:val="21"/>
              </w:rPr>
              <w:t>对法人、个人和其它组织未经登记从事已纳入《</w:t>
            </w:r>
            <w:r>
              <w:rPr>
                <w:rFonts w:hint="eastAsia" w:ascii="仿宋_GB2312" w:hAnsi="仿宋_GB2312" w:eastAsia="仿宋_GB2312" w:cs="仿宋_GB2312"/>
                <w:color w:val="auto"/>
                <w:szCs w:val="21"/>
              </w:rPr>
              <w:t>司法鉴定机构登记管理办法</w:t>
            </w:r>
            <w:r>
              <w:rPr>
                <w:rFonts w:hint="eastAsia" w:ascii="仿宋_GB2312" w:hAnsi="仿宋_GB2312" w:eastAsia="仿宋_GB2312" w:cs="仿宋_GB2312"/>
                <w:color w:val="auto"/>
                <w:kern w:val="0"/>
                <w:szCs w:val="21"/>
              </w:rPr>
              <w:t>》和《司法鉴定人登记管理办法》调整范围司法鉴定业务的处罚</w:t>
            </w:r>
          </w:p>
        </w:tc>
        <w:tc>
          <w:tcPr>
            <w:tcW w:w="791" w:type="dxa"/>
            <w:vAlign w:val="center"/>
          </w:tcPr>
          <w:p>
            <w:pPr>
              <w:rPr>
                <w:rFonts w:hint="eastAsia" w:ascii="仿宋_GB2312" w:eastAsia="仿宋_GB2312" w:cs="仿宋_GB2312"/>
                <w:color w:val="auto"/>
                <w:szCs w:val="21"/>
              </w:rPr>
            </w:pPr>
            <w:r>
              <w:rPr>
                <w:rFonts w:hint="eastAsia" w:ascii="仿宋_GB2312" w:eastAsia="仿宋_GB2312" w:cs="仿宋_GB2312"/>
                <w:color w:val="auto"/>
                <w:szCs w:val="21"/>
              </w:rPr>
              <w:t>0209020000</w:t>
            </w:r>
          </w:p>
        </w:tc>
        <w:tc>
          <w:tcPr>
            <w:tcW w:w="717" w:type="dxa"/>
            <w:vAlign w:val="center"/>
          </w:tcPr>
          <w:p>
            <w:pPr>
              <w:spacing w:line="270" w:lineRule="exact"/>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554" w:type="dxa"/>
            <w:vAlign w:val="center"/>
          </w:tcPr>
          <w:p>
            <w:pPr>
              <w:spacing w:line="27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【部门规章】《司法鉴定机构登记管理办法》（2005年司法部令第95号）</w:t>
            </w:r>
          </w:p>
          <w:p>
            <w:pPr>
              <w:spacing w:line="27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第三十八条  法人或者其他组织未经登记，从事已纳入本办法调整范围司法鉴定业务的，省级司法行政机关应当责令其停止司法鉴定活动，并处以违法所得一至三倍的罚款，罚款总额最高不得超过三万元。</w:t>
            </w:r>
          </w:p>
          <w:p>
            <w:pPr>
              <w:spacing w:line="27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【部门规章】《司法鉴定人登记管理办法》（2005年司法部令第96号）</w:t>
            </w:r>
          </w:p>
          <w:p>
            <w:pPr>
              <w:spacing w:line="270" w:lineRule="exact"/>
              <w:ind w:firstLine="420" w:firstLineChars="200"/>
              <w:rPr>
                <w:rFonts w:hint="eastAsia" w:ascii="仿宋_GB2312" w:eastAsia="仿宋_GB2312" w:cs="仿宋_GB2312"/>
                <w:color w:val="auto"/>
                <w:szCs w:val="21"/>
                <w:shd w:val="clear" w:color="auto" w:fill="FFFFFF"/>
              </w:rPr>
            </w:pPr>
            <w:r>
              <w:rPr>
                <w:rFonts w:hint="eastAsia" w:ascii="仿宋_GB2312" w:hAnsi="仿宋_GB2312" w:eastAsia="仿宋_GB2312" w:cs="仿宋_GB2312"/>
                <w:color w:val="auto"/>
                <w:szCs w:val="21"/>
              </w:rPr>
              <w:t>第二十八条  未经登记的人员，从事已纳入本办法调整范围司法鉴定业务的，省级司法行政机关应当责令其停止司法鉴定活动，并处以违法所得一至三倍的罚款，罚款总额最高不得超过三万元。</w:t>
            </w:r>
          </w:p>
        </w:tc>
        <w:tc>
          <w:tcPr>
            <w:tcW w:w="910" w:type="dxa"/>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kern w:val="0"/>
                <w:szCs w:val="21"/>
              </w:rPr>
              <w:t>自治区</w:t>
            </w:r>
          </w:p>
        </w:tc>
        <w:tc>
          <w:tcPr>
            <w:tcW w:w="1567" w:type="dxa"/>
            <w:vAlign w:val="center"/>
          </w:tcPr>
          <w:p>
            <w:pPr>
              <w:rPr>
                <w:rFonts w:hint="eastAsia" w:ascii="仿宋_GB2312" w:eastAsia="仿宋_GB2312" w:cs="仿宋_GB2312"/>
                <w:color w:val="auto"/>
                <w:szCs w:val="21"/>
              </w:rPr>
            </w:pPr>
            <w:r>
              <w:rPr>
                <w:rFonts w:hint="eastAsia" w:ascii="仿宋_GB2312" w:hAnsi="仿宋_GB2312" w:eastAsia="仿宋_GB2312" w:cs="仿宋_GB2312"/>
                <w:color w:val="auto"/>
                <w:szCs w:val="21"/>
              </w:rPr>
              <w:t>责令其停止司法鉴定活动，并处以违法所得一至三倍的罚款，罚款总额最高不得超过三万元。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5" w:hRule="atLeast"/>
        </w:trPr>
        <w:tc>
          <w:tcPr>
            <w:tcW w:w="704" w:type="dxa"/>
            <w:vAlign w:val="center"/>
          </w:tcPr>
          <w:p>
            <w:pPr>
              <w:tabs>
                <w:tab w:val="left" w:pos="262"/>
              </w:tabs>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21</w:t>
            </w:r>
          </w:p>
        </w:tc>
        <w:tc>
          <w:tcPr>
            <w:tcW w:w="1619" w:type="dxa"/>
            <w:vAlign w:val="center"/>
          </w:tcPr>
          <w:p>
            <w:pPr>
              <w:spacing w:line="270" w:lineRule="exact"/>
              <w:rPr>
                <w:rFonts w:hint="eastAsia" w:ascii="仿宋_GB2312" w:eastAsia="仿宋_GB2312" w:cs="仿宋_GB2312"/>
                <w:color w:val="auto"/>
                <w:szCs w:val="21"/>
              </w:rPr>
            </w:pPr>
            <w:r>
              <w:rPr>
                <w:rFonts w:hint="eastAsia" w:ascii="仿宋_GB2312" w:hAnsi="仿宋_GB2312" w:eastAsia="仿宋_GB2312" w:cs="仿宋_GB2312"/>
                <w:color w:val="auto"/>
                <w:szCs w:val="21"/>
              </w:rPr>
              <w:t>对</w:t>
            </w:r>
            <w:r>
              <w:rPr>
                <w:rFonts w:hint="eastAsia" w:ascii="仿宋_GB2312" w:hAnsi="仿宋_GB2312" w:eastAsia="仿宋_GB2312" w:cs="仿宋_GB2312"/>
                <w:color w:val="auto"/>
                <w:kern w:val="0"/>
                <w:szCs w:val="21"/>
              </w:rPr>
              <w:t>超出登记的司法鉴定业务范围开展司法鉴定活动、未经依法登记擅自设立分支机构的等行为的处罚</w:t>
            </w:r>
          </w:p>
        </w:tc>
        <w:tc>
          <w:tcPr>
            <w:tcW w:w="791" w:type="dxa"/>
            <w:vAlign w:val="center"/>
          </w:tcPr>
          <w:p>
            <w:pPr>
              <w:rPr>
                <w:rFonts w:hint="eastAsia" w:ascii="仿宋_GB2312" w:eastAsia="仿宋_GB2312" w:cs="仿宋_GB2312"/>
                <w:color w:val="auto"/>
                <w:szCs w:val="21"/>
              </w:rPr>
            </w:pPr>
            <w:r>
              <w:rPr>
                <w:rFonts w:hint="eastAsia" w:ascii="仿宋_GB2312" w:eastAsia="仿宋_GB2312" w:cs="仿宋_GB2312"/>
                <w:color w:val="auto"/>
                <w:szCs w:val="21"/>
              </w:rPr>
              <w:t>0209021000</w:t>
            </w:r>
          </w:p>
        </w:tc>
        <w:tc>
          <w:tcPr>
            <w:tcW w:w="717" w:type="dxa"/>
            <w:vAlign w:val="center"/>
          </w:tcPr>
          <w:p>
            <w:pPr>
              <w:spacing w:line="270" w:lineRule="exact"/>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554" w:type="dxa"/>
            <w:vAlign w:val="center"/>
          </w:tcPr>
          <w:p>
            <w:pPr>
              <w:spacing w:line="27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【部门规章】《司法鉴定机构登记管理办法》（2005年司法部令第95号）</w:t>
            </w:r>
          </w:p>
          <w:p>
            <w:pPr>
              <w:widowControl/>
              <w:spacing w:line="270" w:lineRule="exact"/>
              <w:ind w:firstLine="420" w:firstLineChars="200"/>
              <w:rPr>
                <w:rFonts w:hint="eastAsia" w:ascii="仿宋_GB2312" w:eastAsia="仿宋_GB2312" w:cs="仿宋_GB2312"/>
                <w:color w:val="auto"/>
                <w:kern w:val="0"/>
                <w:szCs w:val="21"/>
              </w:rPr>
            </w:pPr>
            <w:r>
              <w:rPr>
                <w:rFonts w:hint="eastAsia" w:ascii="仿宋_GB2312" w:hAnsi="仿宋_GB2312" w:eastAsia="仿宋_GB2312" w:cs="仿宋_GB2312"/>
                <w:color w:val="auto"/>
                <w:kern w:val="0"/>
                <w:szCs w:val="21"/>
              </w:rPr>
              <w:t>第四十条  司法鉴定机构有下列情形之一的，由省级司法行政机关依法给予停止从事司法鉴定业务三个月以上一年以下的处罚；情节严重的，撤销登记：(二)具有本办法第三十九条规定的情形之一，并造成严重后果的。</w:t>
            </w:r>
          </w:p>
          <w:p>
            <w:pPr>
              <w:spacing w:line="270" w:lineRule="exact"/>
              <w:ind w:firstLine="420" w:firstLineChars="200"/>
              <w:rPr>
                <w:rFonts w:hint="eastAsia" w:ascii="仿宋_GB2312" w:eastAsia="仿宋_GB2312" w:cs="仿宋_GB2312"/>
                <w:color w:val="auto"/>
                <w:kern w:val="0"/>
                <w:szCs w:val="21"/>
              </w:rPr>
            </w:pPr>
            <w:r>
              <w:rPr>
                <w:rFonts w:hint="eastAsia" w:ascii="仿宋_GB2312" w:hAnsi="仿宋_GB2312" w:eastAsia="仿宋_GB2312" w:cs="仿宋_GB2312"/>
                <w:bCs/>
                <w:color w:val="auto"/>
                <w:kern w:val="0"/>
                <w:szCs w:val="21"/>
              </w:rPr>
              <w:t>第三十九条</w:t>
            </w:r>
            <w:r>
              <w:rPr>
                <w:rFonts w:hint="eastAsia" w:ascii="仿宋_GB2312" w:hAnsi="仿宋_GB2312" w:eastAsia="仿宋_GB2312" w:cs="仿宋_GB2312"/>
                <w:color w:val="auto"/>
                <w:kern w:val="0"/>
                <w:szCs w:val="21"/>
              </w:rPr>
              <w:t>　司法鉴定机构有下列情形之一的，由省级司法行政机关依法给予警告，并责令其改正：(一)超出登记的司法鉴定业务范围开展司法鉴定活动的；(二)未经依法登记擅自设立分支机构的；(三)未依法办理变更登记的；(四)出借《司法鉴定许可证》的；(五)组织未取得《司法鉴定人执业证》的人员从事司法鉴定业务的；(六)无正当理由拒绝接受司法鉴定委托的；(七)违反司法鉴定收费管理办法的；(八)支付回扣、介绍费，进行虚假宣传等不正当行为的；(九)拒绝接受司法行政机关监督、检查或者向其提供虚假材料的；(十)法律、法规和规章规定的其他情形。</w:t>
            </w:r>
          </w:p>
          <w:p>
            <w:pPr>
              <w:spacing w:line="270" w:lineRule="exact"/>
              <w:ind w:firstLine="420" w:firstLineChars="200"/>
              <w:rPr>
                <w:rFonts w:hint="eastAsia" w:ascii="仿宋_GB2312" w:eastAsia="仿宋_GB2312" w:cs="仿宋_GB2312"/>
                <w:color w:val="auto"/>
                <w:kern w:val="0"/>
                <w:szCs w:val="21"/>
              </w:rPr>
            </w:pPr>
          </w:p>
        </w:tc>
        <w:tc>
          <w:tcPr>
            <w:tcW w:w="910" w:type="dxa"/>
            <w:vAlign w:val="center"/>
          </w:tcPr>
          <w:p>
            <w:pPr>
              <w:rPr>
                <w:rFonts w:hint="eastAsia" w:ascii="仿宋_GB2312" w:eastAsia="仿宋_GB2312" w:cs="仿宋_GB2312"/>
                <w:color w:val="auto"/>
                <w:szCs w:val="21"/>
              </w:rPr>
            </w:pPr>
            <w:r>
              <w:rPr>
                <w:rFonts w:hint="eastAsia" w:ascii="仿宋_GB2312" w:hAnsi="仿宋_GB2312" w:eastAsia="仿宋_GB2312" w:cs="仿宋_GB2312"/>
                <w:color w:val="auto"/>
                <w:kern w:val="0"/>
                <w:szCs w:val="21"/>
              </w:rPr>
              <w:t>自治区</w:t>
            </w:r>
          </w:p>
        </w:tc>
        <w:tc>
          <w:tcPr>
            <w:tcW w:w="1567" w:type="dxa"/>
            <w:vAlign w:val="center"/>
          </w:tcPr>
          <w:p>
            <w:pPr>
              <w:rPr>
                <w:rFonts w:hint="eastAsia" w:ascii="仿宋_GB2312" w:eastAsia="仿宋_GB2312" w:cs="仿宋_GB2312"/>
                <w:color w:val="auto"/>
                <w:szCs w:val="21"/>
              </w:rPr>
            </w:pPr>
            <w:r>
              <w:rPr>
                <w:rFonts w:hint="eastAsia" w:ascii="仿宋_GB2312" w:hAnsi="仿宋_GB2312" w:eastAsia="仿宋_GB2312" w:cs="仿宋_GB2312"/>
                <w:color w:val="auto"/>
                <w:szCs w:val="21"/>
              </w:rPr>
              <w:t>对司法鉴定机构给予停止从事司法鉴定业务三个月以上一年以下的处罚；情节严重的，撤销登记。对司法鉴定机构给予警告。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5" w:hRule="atLeast"/>
        </w:trPr>
        <w:tc>
          <w:tcPr>
            <w:tcW w:w="704" w:type="dxa"/>
            <w:vMerge w:val="restart"/>
            <w:vAlign w:val="center"/>
          </w:tcPr>
          <w:p>
            <w:pPr>
              <w:tabs>
                <w:tab w:val="left" w:pos="262"/>
              </w:tabs>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22</w:t>
            </w:r>
          </w:p>
        </w:tc>
        <w:tc>
          <w:tcPr>
            <w:tcW w:w="1619" w:type="dxa"/>
            <w:vMerge w:val="restart"/>
            <w:vAlign w:val="center"/>
          </w:tcPr>
          <w:p>
            <w:pPr>
              <w:spacing w:line="270" w:lineRule="exact"/>
              <w:rPr>
                <w:rFonts w:hint="eastAsia" w:ascii="仿宋_GB2312" w:eastAsia="仿宋_GB2312" w:cs="仿宋_GB2312"/>
                <w:color w:val="auto"/>
                <w:szCs w:val="21"/>
              </w:rPr>
            </w:pPr>
            <w:r>
              <w:rPr>
                <w:rFonts w:hint="eastAsia" w:ascii="仿宋_GB2312" w:hAnsi="仿宋_GB2312" w:eastAsia="仿宋_GB2312" w:cs="仿宋_GB2312"/>
                <w:color w:val="auto"/>
                <w:kern w:val="0"/>
                <w:szCs w:val="21"/>
              </w:rPr>
              <w:t>对司法鉴定人具有同时在两个以上司法鉴定机构执业、超出登记的执业类别执业等行为的处罚</w:t>
            </w:r>
          </w:p>
        </w:tc>
        <w:tc>
          <w:tcPr>
            <w:tcW w:w="791" w:type="dxa"/>
            <w:vMerge w:val="restart"/>
            <w:vAlign w:val="center"/>
          </w:tcPr>
          <w:p>
            <w:pPr>
              <w:rPr>
                <w:rFonts w:hint="eastAsia" w:ascii="仿宋_GB2312" w:eastAsia="仿宋_GB2312" w:cs="仿宋_GB2312"/>
                <w:color w:val="auto"/>
                <w:szCs w:val="21"/>
              </w:rPr>
            </w:pPr>
            <w:r>
              <w:rPr>
                <w:rFonts w:hint="eastAsia" w:ascii="仿宋_GB2312" w:eastAsia="仿宋_GB2312" w:cs="仿宋_GB2312"/>
                <w:color w:val="auto"/>
                <w:szCs w:val="21"/>
              </w:rPr>
              <w:t>0209022000</w:t>
            </w:r>
          </w:p>
        </w:tc>
        <w:tc>
          <w:tcPr>
            <w:tcW w:w="717" w:type="dxa"/>
            <w:vMerge w:val="restart"/>
            <w:vAlign w:val="center"/>
          </w:tcPr>
          <w:p>
            <w:pPr>
              <w:spacing w:line="270" w:lineRule="exact"/>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554" w:type="dxa"/>
            <w:vMerge w:val="restart"/>
            <w:vAlign w:val="center"/>
          </w:tcPr>
          <w:p>
            <w:pPr>
              <w:spacing w:line="27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【部门规章】《司法鉴定人登记管理办法》（2005年司法部令第96号）</w:t>
            </w:r>
          </w:p>
          <w:p>
            <w:pPr>
              <w:spacing w:line="270" w:lineRule="exact"/>
              <w:ind w:firstLine="420" w:firstLineChars="200"/>
              <w:rPr>
                <w:rFonts w:hint="eastAsia" w:ascii="仿宋_GB2312" w:eastAsia="仿宋_GB2312" w:cs="仿宋_GB2312"/>
                <w:color w:val="auto"/>
                <w:kern w:val="0"/>
                <w:szCs w:val="21"/>
              </w:rPr>
            </w:pPr>
            <w:r>
              <w:rPr>
                <w:rFonts w:hint="eastAsia" w:ascii="仿宋_GB2312" w:hAnsi="仿宋_GB2312" w:eastAsia="仿宋_GB2312" w:cs="仿宋_GB2312"/>
                <w:bCs/>
                <w:color w:val="auto"/>
                <w:kern w:val="0"/>
                <w:szCs w:val="21"/>
              </w:rPr>
              <w:t xml:space="preserve">第二十九条  </w:t>
            </w:r>
            <w:r>
              <w:rPr>
                <w:rFonts w:hint="eastAsia" w:ascii="仿宋_GB2312" w:hAnsi="仿宋_GB2312" w:eastAsia="仿宋_GB2312" w:cs="仿宋_GB2312"/>
                <w:color w:val="auto"/>
                <w:szCs w:val="21"/>
              </w:rPr>
              <w:t>司法鉴定人有下列情形之一的，</w:t>
            </w:r>
            <w:r>
              <w:rPr>
                <w:rFonts w:hint="eastAsia" w:ascii="仿宋_GB2312" w:hAnsi="仿宋_GB2312" w:eastAsia="仿宋_GB2312" w:cs="仿宋_GB2312"/>
                <w:color w:val="auto"/>
                <w:kern w:val="0"/>
                <w:szCs w:val="21"/>
              </w:rPr>
              <w:t>由省级司法行政机关依法给予警告，并责令其改正：（一）同时在两个以上司法鉴定机构执业的；（二）超出登记的执业类别执业的；（三）私自接受司法鉴定委托的；（四）违反保密和回避规定的；（五）拒绝接受司法行政机关监督、检查或者向其提供虚假材料的；（六）法律、法规和规章规定的其他情形。</w:t>
            </w:r>
          </w:p>
          <w:p>
            <w:pPr>
              <w:spacing w:line="270" w:lineRule="exact"/>
              <w:ind w:firstLine="420" w:firstLineChars="200"/>
              <w:rPr>
                <w:rFonts w:hint="eastAsia" w:ascii="仿宋_GB2312" w:eastAsia="仿宋_GB2312" w:cs="仿宋_GB2312"/>
                <w:color w:val="auto"/>
                <w:szCs w:val="21"/>
                <w:shd w:val="clear" w:color="auto" w:fill="FFFFFF"/>
              </w:rPr>
            </w:pPr>
            <w:r>
              <w:rPr>
                <w:rFonts w:hint="eastAsia" w:ascii="仿宋_GB2312" w:hAnsi="仿宋_GB2312" w:eastAsia="仿宋_GB2312" w:cs="仿宋_GB2312"/>
                <w:color w:val="auto"/>
                <w:kern w:val="0"/>
                <w:szCs w:val="21"/>
              </w:rPr>
              <w:t>第三十条  司法鉴定人有下列情形之一的，由省级司法行政机关给予停止执业三个月以上一年以下的处罚；情节严重的，撤销登记；构成犯罪的，依法追究刑事责任：（一）因严重不负责任给当事人合法权益造成重大损失的：（二）具有本办法第二十九条规定的情形之一并造成严重后果的；（三）提供虚假证明文件或者采取其他欺骗手段，骗取登记的；（四）经人民法院依法通知，非法定事由拒绝出庭作证的；（五）故意做虚假鉴定的；（六）法律、法规规定的其他情形。</w:t>
            </w:r>
          </w:p>
        </w:tc>
        <w:tc>
          <w:tcPr>
            <w:tcW w:w="910" w:type="dxa"/>
            <w:vAlign w:val="center"/>
          </w:tcPr>
          <w:p>
            <w:pPr>
              <w:jc w:val="left"/>
              <w:rPr>
                <w:rFonts w:hint="eastAsia" w:ascii="仿宋_GB2312" w:eastAsia="仿宋_GB2312" w:cs="仿宋_GB2312"/>
                <w:color w:val="auto"/>
                <w:szCs w:val="21"/>
              </w:rPr>
            </w:pPr>
            <w:r>
              <w:rPr>
                <w:rFonts w:hint="eastAsia" w:ascii="仿宋_GB2312" w:hAnsi="仿宋_GB2312" w:eastAsia="仿宋_GB2312" w:cs="仿宋_GB2312"/>
                <w:color w:val="auto"/>
                <w:szCs w:val="21"/>
              </w:rPr>
              <w:t>自治区</w:t>
            </w:r>
          </w:p>
        </w:tc>
        <w:tc>
          <w:tcPr>
            <w:tcW w:w="1567" w:type="dxa"/>
            <w:vAlign w:val="center"/>
          </w:tcPr>
          <w:p>
            <w:pPr>
              <w:spacing w:line="270" w:lineRule="exact"/>
              <w:rPr>
                <w:rFonts w:hint="eastAsia" w:ascii="仿宋_GB2312" w:eastAsia="仿宋_GB2312" w:cs="仿宋_GB2312"/>
                <w:color w:val="auto"/>
                <w:kern w:val="0"/>
                <w:szCs w:val="21"/>
              </w:rPr>
            </w:pPr>
            <w:r>
              <w:rPr>
                <w:rFonts w:hint="eastAsia" w:ascii="仿宋_GB2312" w:hAnsi="仿宋_GB2312" w:eastAsia="仿宋_GB2312" w:cs="仿宋_GB2312"/>
                <w:color w:val="auto"/>
                <w:kern w:val="0"/>
                <w:szCs w:val="21"/>
              </w:rPr>
              <w:t>给予警告；给予停止执业三个月以上一年以下处罚；情节严重的，撤销登记，</w:t>
            </w:r>
            <w:r>
              <w:rPr>
                <w:rFonts w:hint="eastAsia" w:ascii="仿宋_GB2312" w:hAnsi="仿宋_GB2312" w:eastAsia="仿宋_GB2312" w:cs="仿宋_GB2312"/>
                <w:color w:val="auto"/>
                <w:szCs w:val="21"/>
              </w:rPr>
              <w:t>作虚假鉴定的，处五千元以上三万元以下罚款，并吊销执业证书，对所在司法鉴定机构处五千元以上三万元以下罚款，有违法所得的，没收违法所得。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5" w:hRule="atLeast"/>
        </w:trPr>
        <w:tc>
          <w:tcPr>
            <w:tcW w:w="704" w:type="dxa"/>
            <w:vMerge w:val="continue"/>
            <w:vAlign w:val="center"/>
          </w:tcPr>
          <w:p>
            <w:pPr>
              <w:jc w:val="left"/>
              <w:rPr>
                <w:rFonts w:hint="eastAsia" w:ascii="仿宋_GB2312" w:eastAsia="仿宋_GB2312"/>
                <w:color w:val="auto"/>
              </w:rPr>
            </w:pPr>
          </w:p>
        </w:tc>
        <w:tc>
          <w:tcPr>
            <w:tcW w:w="1619" w:type="dxa"/>
            <w:vMerge w:val="continue"/>
            <w:vAlign w:val="center"/>
          </w:tcPr>
          <w:p>
            <w:pPr>
              <w:jc w:val="left"/>
              <w:rPr>
                <w:rFonts w:hint="eastAsia" w:ascii="仿宋_GB2312" w:eastAsia="仿宋_GB2312"/>
                <w:color w:val="auto"/>
              </w:rPr>
            </w:pPr>
          </w:p>
        </w:tc>
        <w:tc>
          <w:tcPr>
            <w:tcW w:w="791" w:type="dxa"/>
            <w:vMerge w:val="continue"/>
            <w:vAlign w:val="center"/>
          </w:tcPr>
          <w:p>
            <w:pPr>
              <w:rPr>
                <w:rFonts w:hint="eastAsia" w:ascii="仿宋_GB2312" w:eastAsia="仿宋_GB2312"/>
                <w:color w:val="auto"/>
              </w:rPr>
            </w:pPr>
          </w:p>
        </w:tc>
        <w:tc>
          <w:tcPr>
            <w:tcW w:w="717" w:type="dxa"/>
            <w:vMerge w:val="continue"/>
            <w:vAlign w:val="center"/>
          </w:tcPr>
          <w:p>
            <w:pPr>
              <w:jc w:val="left"/>
              <w:rPr>
                <w:rFonts w:hint="eastAsia" w:ascii="仿宋_GB2312" w:eastAsia="仿宋_GB2312"/>
                <w:color w:val="auto"/>
              </w:rPr>
            </w:pPr>
          </w:p>
        </w:tc>
        <w:tc>
          <w:tcPr>
            <w:tcW w:w="7554" w:type="dxa"/>
            <w:vMerge w:val="continue"/>
            <w:vAlign w:val="center"/>
          </w:tcPr>
          <w:p>
            <w:pPr>
              <w:rPr>
                <w:rFonts w:hint="eastAsia" w:ascii="仿宋_GB2312" w:eastAsia="仿宋_GB2312"/>
                <w:color w:val="auto"/>
              </w:rPr>
            </w:pPr>
          </w:p>
        </w:tc>
        <w:tc>
          <w:tcPr>
            <w:tcW w:w="910" w:type="dxa"/>
            <w:vAlign w:val="center"/>
          </w:tcPr>
          <w:p>
            <w:pPr>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设区</w:t>
            </w:r>
          </w:p>
          <w:p>
            <w:pPr>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的市</w:t>
            </w:r>
          </w:p>
        </w:tc>
        <w:tc>
          <w:tcPr>
            <w:tcW w:w="1567" w:type="dxa"/>
            <w:vAlign w:val="center"/>
          </w:tcPr>
          <w:p>
            <w:pPr>
              <w:spacing w:line="270" w:lineRule="exact"/>
              <w:rPr>
                <w:rFonts w:hint="eastAsia" w:ascii="仿宋_GB2312" w:eastAsia="仿宋_GB2312" w:cs="仿宋_GB2312"/>
                <w:color w:val="auto"/>
                <w:szCs w:val="21"/>
              </w:rPr>
            </w:pPr>
            <w:r>
              <w:rPr>
                <w:rFonts w:hint="eastAsia" w:ascii="仿宋_GB2312" w:hAnsi="仿宋_GB2312" w:eastAsia="仿宋_GB2312" w:cs="仿宋_GB2312"/>
                <w:color w:val="auto"/>
                <w:szCs w:val="21"/>
              </w:rPr>
              <w:t>给予警告，没收违法所得，并处违法所得一倍以上三倍以下罚款；责令停止执业三个月以上一年以下。</w:t>
            </w:r>
          </w:p>
          <w:p>
            <w:pPr>
              <w:spacing w:line="270" w:lineRule="exact"/>
              <w:rPr>
                <w:rFonts w:hint="eastAsia" w:ascii="仿宋_GB2312" w:eastAsia="仿宋_GB2312" w:cs="仿宋_GB2312"/>
                <w:color w:val="auto"/>
                <w:szCs w:val="21"/>
              </w:rPr>
            </w:pPr>
            <w:r>
              <w:rPr>
                <w:rFonts w:hint="eastAsia" w:ascii="仿宋_GB2312" w:hAnsi="仿宋_GB2312" w:eastAsia="仿宋_GB2312" w:cs="仿宋_GB2312"/>
                <w:color w:val="auto"/>
                <w:szCs w:val="21"/>
              </w:rPr>
              <w:t>作虚假鉴定的，处五千元以上三万元以下罚款，并吊销执业证书，对所在司法鉴定机构处五千元以上三万元以下罚款，有违法所得的，没收违法所得。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0" w:hRule="atLeast"/>
        </w:trPr>
        <w:tc>
          <w:tcPr>
            <w:tcW w:w="704" w:type="dxa"/>
            <w:vAlign w:val="center"/>
          </w:tcPr>
          <w:p>
            <w:pPr>
              <w:tabs>
                <w:tab w:val="left" w:pos="262"/>
              </w:tabs>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23</w:t>
            </w:r>
          </w:p>
        </w:tc>
        <w:tc>
          <w:tcPr>
            <w:tcW w:w="1619" w:type="dxa"/>
            <w:vAlign w:val="center"/>
          </w:tcPr>
          <w:p>
            <w:pPr>
              <w:spacing w:line="270" w:lineRule="exact"/>
              <w:rPr>
                <w:rFonts w:hint="eastAsia" w:ascii="仿宋_GB2312" w:eastAsia="仿宋_GB2312" w:cs="仿宋_GB2312"/>
                <w:color w:val="auto"/>
                <w:szCs w:val="21"/>
              </w:rPr>
            </w:pPr>
            <w:r>
              <w:rPr>
                <w:rFonts w:hint="eastAsia" w:ascii="仿宋_GB2312" w:hAnsi="仿宋_GB2312" w:eastAsia="仿宋_GB2312" w:cs="仿宋_GB2312"/>
                <w:color w:val="auto"/>
                <w:szCs w:val="21"/>
              </w:rPr>
              <w:t>对司法鉴定人因故意犯罪受到刑事处罚的行政处罚</w:t>
            </w:r>
          </w:p>
        </w:tc>
        <w:tc>
          <w:tcPr>
            <w:tcW w:w="791" w:type="dxa"/>
            <w:vAlign w:val="center"/>
          </w:tcPr>
          <w:p>
            <w:pPr>
              <w:rPr>
                <w:rFonts w:hint="eastAsia" w:ascii="仿宋_GB2312" w:eastAsia="仿宋_GB2312" w:cs="仿宋_GB2312"/>
                <w:color w:val="auto"/>
                <w:szCs w:val="21"/>
              </w:rPr>
            </w:pPr>
            <w:r>
              <w:rPr>
                <w:rFonts w:hint="eastAsia" w:ascii="仿宋_GB2312" w:eastAsia="仿宋_GB2312" w:cs="仿宋_GB2312"/>
                <w:color w:val="auto"/>
                <w:szCs w:val="21"/>
              </w:rPr>
              <w:t>0209023000</w:t>
            </w:r>
          </w:p>
        </w:tc>
        <w:tc>
          <w:tcPr>
            <w:tcW w:w="717" w:type="dxa"/>
            <w:vAlign w:val="center"/>
          </w:tcPr>
          <w:p>
            <w:pPr>
              <w:spacing w:line="270" w:lineRule="exact"/>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554" w:type="dxa"/>
            <w:vAlign w:val="center"/>
          </w:tcPr>
          <w:p>
            <w:pPr>
              <w:widowControl/>
              <w:spacing w:line="27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【地方性法规】《宁夏司法鉴定管理条例》（2004年）</w:t>
            </w:r>
          </w:p>
          <w:p>
            <w:pPr>
              <w:spacing w:line="270" w:lineRule="exact"/>
              <w:ind w:firstLine="420" w:firstLineChars="200"/>
              <w:rPr>
                <w:rFonts w:hint="eastAsia" w:ascii="仿宋_GB2312" w:eastAsia="仿宋_GB2312" w:cs="仿宋_GB2312"/>
                <w:color w:val="auto"/>
                <w:szCs w:val="21"/>
                <w:shd w:val="clear" w:color="auto" w:fill="FFFFFF"/>
              </w:rPr>
            </w:pPr>
            <w:r>
              <w:rPr>
                <w:rFonts w:hint="eastAsia" w:ascii="仿宋_GB2312" w:hAnsi="仿宋_GB2312" w:eastAsia="仿宋_GB2312" w:cs="仿宋_GB2312"/>
                <w:color w:val="auto"/>
                <w:szCs w:val="21"/>
              </w:rPr>
              <w:t>第四十二条  司法鉴定人因故意犯罪受到刑事处罚的，由自治区司法行政部门吊销执业证书。</w:t>
            </w:r>
          </w:p>
        </w:tc>
        <w:tc>
          <w:tcPr>
            <w:tcW w:w="910" w:type="dxa"/>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kern w:val="0"/>
                <w:szCs w:val="21"/>
              </w:rPr>
              <w:t>自治区</w:t>
            </w:r>
          </w:p>
        </w:tc>
        <w:tc>
          <w:tcPr>
            <w:tcW w:w="1567" w:type="dxa"/>
            <w:vAlign w:val="center"/>
          </w:tcPr>
          <w:p>
            <w:pPr>
              <w:rPr>
                <w:rFonts w:hint="eastAsia" w:ascii="仿宋_GB2312" w:eastAsia="仿宋_GB2312" w:cs="仿宋_GB2312"/>
                <w:color w:val="auto"/>
                <w:szCs w:val="21"/>
              </w:rPr>
            </w:pPr>
            <w:r>
              <w:rPr>
                <w:rFonts w:hint="eastAsia" w:ascii="仿宋_GB2312" w:hAnsi="仿宋_GB2312" w:eastAsia="仿宋_GB2312" w:cs="仿宋_GB2312"/>
                <w:color w:val="auto"/>
                <w:szCs w:val="21"/>
              </w:rPr>
              <w:t>吊销执业证书。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704" w:type="dxa"/>
            <w:vMerge w:val="restart"/>
            <w:vAlign w:val="center"/>
          </w:tcPr>
          <w:p>
            <w:pPr>
              <w:tabs>
                <w:tab w:val="left" w:pos="262"/>
              </w:tabs>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24</w:t>
            </w:r>
          </w:p>
        </w:tc>
        <w:tc>
          <w:tcPr>
            <w:tcW w:w="1619" w:type="dxa"/>
            <w:vMerge w:val="restart"/>
            <w:vAlign w:val="center"/>
          </w:tcPr>
          <w:p>
            <w:pPr>
              <w:spacing w:line="270" w:lineRule="exact"/>
              <w:rPr>
                <w:rFonts w:hint="eastAsia" w:ascii="仿宋_GB2312" w:eastAsia="仿宋_GB2312" w:cs="仿宋_GB2312"/>
                <w:color w:val="auto"/>
                <w:szCs w:val="21"/>
              </w:rPr>
            </w:pPr>
            <w:r>
              <w:rPr>
                <w:rFonts w:hint="eastAsia" w:ascii="仿宋_GB2312" w:hAnsi="仿宋_GB2312" w:eastAsia="仿宋_GB2312" w:cs="仿宋_GB2312"/>
                <w:color w:val="auto"/>
                <w:szCs w:val="21"/>
              </w:rPr>
              <w:t>对</w:t>
            </w:r>
            <w:r>
              <w:rPr>
                <w:rFonts w:hint="eastAsia" w:ascii="仿宋_GB2312" w:hAnsi="仿宋_GB2312" w:eastAsia="仿宋_GB2312" w:cs="仿宋_GB2312"/>
                <w:color w:val="auto"/>
                <w:kern w:val="0"/>
                <w:szCs w:val="21"/>
              </w:rPr>
              <w:t>司法鉴定机构未按规定进行年度检验，年度检验未通过继续从事司法鉴定活动的处罚</w:t>
            </w:r>
          </w:p>
        </w:tc>
        <w:tc>
          <w:tcPr>
            <w:tcW w:w="791" w:type="dxa"/>
            <w:vMerge w:val="restart"/>
            <w:vAlign w:val="center"/>
          </w:tcPr>
          <w:p>
            <w:pPr>
              <w:rPr>
                <w:rFonts w:hint="eastAsia" w:ascii="仿宋_GB2312" w:eastAsia="仿宋_GB2312" w:cs="仿宋_GB2312"/>
                <w:color w:val="auto"/>
                <w:szCs w:val="21"/>
              </w:rPr>
            </w:pPr>
            <w:r>
              <w:rPr>
                <w:rFonts w:hint="eastAsia" w:ascii="仿宋_GB2312" w:eastAsia="仿宋_GB2312" w:cs="仿宋_GB2312"/>
                <w:color w:val="auto"/>
                <w:szCs w:val="21"/>
              </w:rPr>
              <w:t>0209024000</w:t>
            </w:r>
          </w:p>
        </w:tc>
        <w:tc>
          <w:tcPr>
            <w:tcW w:w="717" w:type="dxa"/>
            <w:vMerge w:val="restart"/>
            <w:vAlign w:val="center"/>
          </w:tcPr>
          <w:p>
            <w:pPr>
              <w:spacing w:line="270" w:lineRule="exact"/>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554" w:type="dxa"/>
            <w:vMerge w:val="restart"/>
            <w:vAlign w:val="center"/>
          </w:tcPr>
          <w:p>
            <w:pPr>
              <w:widowControl/>
              <w:spacing w:line="27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【地方性法规】《宁夏回族自治区司法鉴定管理条例》（2004年）</w:t>
            </w:r>
          </w:p>
          <w:p>
            <w:pPr>
              <w:spacing w:line="270" w:lineRule="exact"/>
              <w:ind w:firstLine="420" w:firstLineChars="200"/>
              <w:rPr>
                <w:rFonts w:hint="eastAsia" w:ascii="仿宋_GB2312" w:eastAsia="仿宋_GB2312" w:cs="仿宋_GB2312"/>
                <w:color w:val="auto"/>
                <w:szCs w:val="21"/>
                <w:shd w:val="clear" w:color="auto" w:fill="FFFFFF"/>
              </w:rPr>
            </w:pPr>
            <w:r>
              <w:rPr>
                <w:rFonts w:hint="eastAsia" w:ascii="仿宋_GB2312" w:hAnsi="仿宋_GB2312" w:eastAsia="仿宋_GB2312" w:cs="仿宋_GB2312"/>
                <w:color w:val="auto"/>
                <w:szCs w:val="21"/>
              </w:rPr>
              <w:t>第三十八条　司法鉴定机构有下列情形之一的，由设区的市以上司法行政部门给予警告，没收违法所得，并处违法所得一倍以上三倍以下罚款：（一）未按照第十二条规定进行年度检验的；（二）年度检验未通过继续从事司法鉴定活动的。</w:t>
            </w:r>
          </w:p>
        </w:tc>
        <w:tc>
          <w:tcPr>
            <w:tcW w:w="910" w:type="dxa"/>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kern w:val="0"/>
                <w:szCs w:val="21"/>
              </w:rPr>
              <w:t>自治区</w:t>
            </w:r>
          </w:p>
        </w:tc>
        <w:tc>
          <w:tcPr>
            <w:tcW w:w="1567" w:type="dxa"/>
            <w:vAlign w:val="center"/>
          </w:tcPr>
          <w:p>
            <w:pPr>
              <w:spacing w:line="270" w:lineRule="exact"/>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给予警告，没收违法所得，并处违法所得一倍以上三倍以下罚款。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704" w:type="dxa"/>
            <w:vMerge w:val="continue"/>
            <w:vAlign w:val="center"/>
          </w:tcPr>
          <w:p>
            <w:pPr>
              <w:jc w:val="left"/>
              <w:rPr>
                <w:rFonts w:hint="eastAsia" w:ascii="仿宋_GB2312" w:eastAsia="仿宋_GB2312"/>
                <w:color w:val="auto"/>
              </w:rPr>
            </w:pPr>
          </w:p>
        </w:tc>
        <w:tc>
          <w:tcPr>
            <w:tcW w:w="1619" w:type="dxa"/>
            <w:vMerge w:val="continue"/>
            <w:vAlign w:val="center"/>
          </w:tcPr>
          <w:p>
            <w:pPr>
              <w:jc w:val="left"/>
              <w:rPr>
                <w:rFonts w:hint="eastAsia" w:ascii="仿宋_GB2312" w:eastAsia="仿宋_GB2312"/>
                <w:color w:val="auto"/>
              </w:rPr>
            </w:pPr>
          </w:p>
        </w:tc>
        <w:tc>
          <w:tcPr>
            <w:tcW w:w="791" w:type="dxa"/>
            <w:vMerge w:val="continue"/>
            <w:vAlign w:val="center"/>
          </w:tcPr>
          <w:p>
            <w:pPr>
              <w:rPr>
                <w:rFonts w:hint="eastAsia" w:ascii="仿宋_GB2312" w:eastAsia="仿宋_GB2312"/>
                <w:color w:val="auto"/>
              </w:rPr>
            </w:pPr>
          </w:p>
        </w:tc>
        <w:tc>
          <w:tcPr>
            <w:tcW w:w="717" w:type="dxa"/>
            <w:vMerge w:val="continue"/>
            <w:vAlign w:val="center"/>
          </w:tcPr>
          <w:p>
            <w:pPr>
              <w:jc w:val="left"/>
              <w:rPr>
                <w:rFonts w:hint="eastAsia" w:ascii="仿宋_GB2312" w:eastAsia="仿宋_GB2312"/>
                <w:color w:val="auto"/>
              </w:rPr>
            </w:pPr>
          </w:p>
        </w:tc>
        <w:tc>
          <w:tcPr>
            <w:tcW w:w="7554" w:type="dxa"/>
            <w:vMerge w:val="continue"/>
            <w:vAlign w:val="center"/>
          </w:tcPr>
          <w:p>
            <w:pPr>
              <w:rPr>
                <w:rFonts w:hint="eastAsia" w:ascii="仿宋_GB2312" w:eastAsia="仿宋_GB2312"/>
                <w:color w:val="auto"/>
              </w:rPr>
            </w:pPr>
          </w:p>
        </w:tc>
        <w:tc>
          <w:tcPr>
            <w:tcW w:w="910" w:type="dxa"/>
            <w:vAlign w:val="center"/>
          </w:tcPr>
          <w:p>
            <w:pPr>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设区</w:t>
            </w:r>
          </w:p>
          <w:p>
            <w:pPr>
              <w:jc w:val="center"/>
              <w:rPr>
                <w:rFonts w:hint="eastAsia" w:ascii="仿宋_GB2312" w:eastAsia="仿宋_GB2312" w:cs="仿宋_GB2312"/>
                <w:color w:val="auto"/>
                <w:kern w:val="0"/>
                <w:szCs w:val="21"/>
              </w:rPr>
            </w:pPr>
            <w:r>
              <w:rPr>
                <w:rFonts w:hint="eastAsia" w:ascii="仿宋_GB2312" w:hAnsi="仿宋_GB2312" w:eastAsia="仿宋_GB2312" w:cs="仿宋_GB2312"/>
                <w:color w:val="auto"/>
                <w:kern w:val="0"/>
                <w:szCs w:val="21"/>
              </w:rPr>
              <w:t>的市</w:t>
            </w:r>
          </w:p>
        </w:tc>
        <w:tc>
          <w:tcPr>
            <w:tcW w:w="1567" w:type="dxa"/>
            <w:vAlign w:val="center"/>
          </w:tcPr>
          <w:p>
            <w:pPr>
              <w:spacing w:line="270" w:lineRule="exact"/>
              <w:jc w:val="left"/>
              <w:rPr>
                <w:rFonts w:hint="eastAsia" w:ascii="仿宋_GB2312" w:eastAsia="仿宋_GB2312" w:cs="仿宋_GB2312"/>
                <w:color w:val="auto"/>
                <w:kern w:val="0"/>
                <w:szCs w:val="21"/>
              </w:rPr>
            </w:pPr>
            <w:r>
              <w:rPr>
                <w:rFonts w:hint="eastAsia" w:ascii="仿宋_GB2312" w:hAnsi="仿宋_GB2312" w:eastAsia="仿宋_GB2312" w:cs="仿宋_GB2312"/>
                <w:color w:val="auto"/>
                <w:szCs w:val="21"/>
              </w:rPr>
              <w:t>给予警告，没收违法所得，并处违法所得一倍以上三倍以下罚款。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6" w:hRule="atLeast"/>
        </w:trPr>
        <w:tc>
          <w:tcPr>
            <w:tcW w:w="704" w:type="dxa"/>
            <w:vMerge w:val="restart"/>
            <w:vAlign w:val="center"/>
          </w:tcPr>
          <w:p>
            <w:pPr>
              <w:tabs>
                <w:tab w:val="left" w:pos="262"/>
              </w:tabs>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25</w:t>
            </w:r>
          </w:p>
        </w:tc>
        <w:tc>
          <w:tcPr>
            <w:tcW w:w="1619" w:type="dxa"/>
            <w:vMerge w:val="restart"/>
            <w:vAlign w:val="center"/>
          </w:tcPr>
          <w:p>
            <w:pPr>
              <w:spacing w:line="270" w:lineRule="exact"/>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对</w:t>
            </w:r>
            <w:r>
              <w:rPr>
                <w:rFonts w:hint="eastAsia" w:ascii="仿宋_GB2312" w:hAnsi="仿宋_GB2312" w:eastAsia="仿宋_GB2312" w:cs="仿宋_GB2312"/>
                <w:bCs/>
                <w:color w:val="auto"/>
                <w:szCs w:val="21"/>
              </w:rPr>
              <w:t>法律援助机构及其工作人员从事有偿法律服务的处罚</w:t>
            </w:r>
          </w:p>
        </w:tc>
        <w:tc>
          <w:tcPr>
            <w:tcW w:w="791" w:type="dxa"/>
            <w:vMerge w:val="restart"/>
            <w:vAlign w:val="center"/>
          </w:tcPr>
          <w:p>
            <w:pPr>
              <w:rPr>
                <w:rFonts w:hint="eastAsia" w:ascii="仿宋_GB2312" w:eastAsia="仿宋_GB2312" w:cs="仿宋_GB2312"/>
                <w:color w:val="auto"/>
                <w:szCs w:val="21"/>
              </w:rPr>
            </w:pPr>
            <w:r>
              <w:rPr>
                <w:rFonts w:hint="eastAsia" w:ascii="仿宋_GB2312" w:eastAsia="仿宋_GB2312" w:cs="仿宋_GB2312"/>
                <w:color w:val="auto"/>
                <w:szCs w:val="21"/>
              </w:rPr>
              <w:t>0209025000</w:t>
            </w:r>
          </w:p>
        </w:tc>
        <w:tc>
          <w:tcPr>
            <w:tcW w:w="717" w:type="dxa"/>
            <w:vMerge w:val="restart"/>
            <w:vAlign w:val="center"/>
          </w:tcPr>
          <w:p>
            <w:pPr>
              <w:spacing w:line="270" w:lineRule="exact"/>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554" w:type="dxa"/>
            <w:vMerge w:val="restart"/>
            <w:vAlign w:val="center"/>
          </w:tcPr>
          <w:p>
            <w:pPr>
              <w:widowControl/>
              <w:spacing w:line="270" w:lineRule="exact"/>
              <w:ind w:firstLine="420" w:firstLineChars="200"/>
              <w:rPr>
                <w:rFonts w:hint="eastAsia" w:ascii="仿宋_GB2312" w:eastAsia="仿宋_GB2312" w:cs="仿宋_GB2312"/>
                <w:color w:val="auto"/>
                <w:kern w:val="0"/>
                <w:szCs w:val="21"/>
              </w:rPr>
            </w:pPr>
            <w:r>
              <w:rPr>
                <w:rFonts w:hint="eastAsia" w:ascii="仿宋_GB2312" w:hAnsi="仿宋_GB2312" w:eastAsia="仿宋_GB2312" w:cs="仿宋_GB2312"/>
                <w:color w:val="auto"/>
                <w:kern w:val="0"/>
                <w:szCs w:val="21"/>
              </w:rPr>
              <w:t>【行政法规】《法律援助条例》</w:t>
            </w:r>
            <w:r>
              <w:rPr>
                <w:rFonts w:hint="eastAsia" w:ascii="仿宋_GB2312" w:hAnsi="仿宋_GB2312" w:eastAsia="仿宋_GB2312" w:cs="仿宋_GB2312"/>
                <w:color w:val="auto"/>
                <w:szCs w:val="21"/>
              </w:rPr>
              <w:t>（2003年国务院令第385号）</w:t>
            </w:r>
          </w:p>
          <w:p>
            <w:pPr>
              <w:widowControl/>
              <w:spacing w:line="270" w:lineRule="exact"/>
              <w:ind w:firstLine="420" w:firstLineChars="200"/>
              <w:rPr>
                <w:rFonts w:hint="eastAsia" w:ascii="仿宋_GB2312" w:eastAsia="仿宋_GB2312" w:cs="仿宋_GB2312"/>
                <w:color w:val="auto"/>
                <w:kern w:val="0"/>
                <w:szCs w:val="21"/>
              </w:rPr>
            </w:pPr>
            <w:r>
              <w:rPr>
                <w:rFonts w:hint="eastAsia" w:ascii="仿宋_GB2312" w:hAnsi="仿宋_GB2312" w:eastAsia="仿宋_GB2312" w:cs="仿宋_GB2312"/>
                <w:color w:val="auto"/>
                <w:kern w:val="0"/>
                <w:szCs w:val="21"/>
              </w:rPr>
              <w:t>第二十六条　法律援助机构及其工作人员有下列情形之一的，对直接负责的主管人员以及其他直接责任人员依法给予纪律处分：(一)为不符合法律援助条件的人员提供法律援助，或者拒绝为符合法律援助条件的人员提供法律援助的；(二)办理法律援助案件收取财物的；(三)从事有偿法律服务的；(四)侵占、私分、挪用法律援助经费的。</w:t>
            </w:r>
          </w:p>
          <w:p>
            <w:pPr>
              <w:widowControl/>
              <w:spacing w:line="270" w:lineRule="exact"/>
              <w:ind w:firstLine="420" w:firstLineChars="200"/>
              <w:rPr>
                <w:rFonts w:hint="eastAsia" w:ascii="仿宋_GB2312" w:eastAsia="仿宋_GB2312" w:cs="仿宋_GB2312"/>
                <w:color w:val="auto"/>
                <w:kern w:val="0"/>
                <w:szCs w:val="21"/>
              </w:rPr>
            </w:pPr>
            <w:r>
              <w:rPr>
                <w:rFonts w:hint="eastAsia" w:ascii="仿宋_GB2312" w:hAnsi="仿宋_GB2312" w:eastAsia="仿宋_GB2312" w:cs="仿宋_GB2312"/>
                <w:color w:val="auto"/>
                <w:kern w:val="0"/>
                <w:szCs w:val="21"/>
              </w:rPr>
              <w:t>办理法律援助案件收取的财物，由司法行政部门责令退还；从事有偿法律服务的违法所得，由司法行政部门予以没收；侵占、私分、挪用法律援助经费的，由司法行政部门责令追回，情节严重，构成犯罪的，依法追究刑事责任。</w:t>
            </w:r>
          </w:p>
          <w:p>
            <w:pPr>
              <w:widowControl/>
              <w:spacing w:line="270" w:lineRule="exact"/>
              <w:ind w:firstLine="420" w:firstLineChars="200"/>
              <w:rPr>
                <w:rFonts w:hint="eastAsia" w:ascii="仿宋_GB2312" w:eastAsia="仿宋_GB2312" w:cs="仿宋_GB2312"/>
                <w:color w:val="auto"/>
                <w:kern w:val="0"/>
                <w:szCs w:val="21"/>
              </w:rPr>
            </w:pPr>
            <w:r>
              <w:rPr>
                <w:rFonts w:hint="eastAsia" w:ascii="仿宋_GB2312" w:hAnsi="仿宋_GB2312" w:eastAsia="仿宋_GB2312" w:cs="仿宋_GB2312"/>
                <w:color w:val="auto"/>
                <w:kern w:val="0"/>
                <w:szCs w:val="21"/>
              </w:rPr>
              <w:t>【地方性法规】《宁夏回族自治区法律援助条例》（2017年）</w:t>
            </w:r>
          </w:p>
          <w:p>
            <w:pPr>
              <w:widowControl/>
              <w:spacing w:line="270" w:lineRule="exact"/>
              <w:ind w:firstLine="420" w:firstLineChars="200"/>
              <w:rPr>
                <w:rFonts w:hint="eastAsia" w:ascii="仿宋_GB2312" w:eastAsia="仿宋_GB2312" w:cs="仿宋_GB2312"/>
                <w:color w:val="auto"/>
                <w:kern w:val="0"/>
                <w:szCs w:val="21"/>
              </w:rPr>
            </w:pPr>
            <w:r>
              <w:rPr>
                <w:rFonts w:hint="eastAsia" w:ascii="仿宋_GB2312" w:hAnsi="仿宋_GB2312" w:eastAsia="仿宋_GB2312" w:cs="仿宋_GB2312"/>
                <w:color w:val="auto"/>
                <w:kern w:val="0"/>
                <w:szCs w:val="21"/>
              </w:rPr>
              <w:t>第三十二条　法律援助机构及其工作人员有下列情形之一的，对直接负责的主管人员和其他直接责任人员依法给予处分：（一）为不符合法律援助条件的人员提供法律援助，或者拒绝为符合法律援助条件的人员提供法律援助的；（二）向受援人索要、收取财物或者牟取其他不正当利益的；（三）侵占、私分、挪用法律援助经费的。</w:t>
            </w:r>
            <w:r>
              <w:rPr>
                <w:rFonts w:hint="eastAsia" w:ascii="仿宋_GB2312" w:eastAsia="仿宋_GB2312" w:cs="仿宋_GB2312"/>
                <w:color w:val="auto"/>
                <w:kern w:val="0"/>
                <w:szCs w:val="21"/>
              </w:rPr>
              <w:t> </w:t>
            </w:r>
          </w:p>
          <w:p>
            <w:pPr>
              <w:spacing w:line="270" w:lineRule="exact"/>
              <w:ind w:firstLine="420" w:firstLineChars="200"/>
              <w:rPr>
                <w:rFonts w:hint="eastAsia" w:ascii="仿宋_GB2312" w:eastAsia="仿宋_GB2312" w:cs="仿宋_GB2312"/>
                <w:color w:val="auto"/>
                <w:szCs w:val="21"/>
                <w:shd w:val="clear" w:color="auto" w:fill="FFFFFF"/>
              </w:rPr>
            </w:pPr>
            <w:r>
              <w:rPr>
                <w:rFonts w:hint="eastAsia" w:ascii="仿宋_GB2312" w:hAnsi="仿宋_GB2312" w:eastAsia="仿宋_GB2312" w:cs="仿宋_GB2312"/>
                <w:color w:val="auto"/>
                <w:kern w:val="0"/>
                <w:szCs w:val="21"/>
              </w:rPr>
              <w:t>办理法律援助事项收取的财物，由司法行政部门责令退还；从事有偿法律服务的违法所得，由司法行政部门予以没收；侵占、私分、挪用法律援助经费的，由司法行政部门责令追回；构成犯罪的，依法追究刑事责任。</w:t>
            </w:r>
          </w:p>
        </w:tc>
        <w:tc>
          <w:tcPr>
            <w:tcW w:w="910" w:type="dxa"/>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kern w:val="0"/>
                <w:szCs w:val="21"/>
              </w:rPr>
              <w:t>自治区</w:t>
            </w:r>
          </w:p>
        </w:tc>
        <w:tc>
          <w:tcPr>
            <w:tcW w:w="1567" w:type="dxa"/>
            <w:vAlign w:val="center"/>
          </w:tcPr>
          <w:p>
            <w:pPr>
              <w:widowControl/>
              <w:spacing w:line="270" w:lineRule="exact"/>
              <w:rPr>
                <w:rFonts w:hint="eastAsia" w:ascii="仿宋_GB2312" w:eastAsia="仿宋_GB2312" w:cs="仿宋_GB2312"/>
                <w:color w:val="auto"/>
                <w:szCs w:val="21"/>
              </w:rPr>
            </w:pPr>
            <w:r>
              <w:rPr>
                <w:rFonts w:hint="eastAsia" w:ascii="仿宋_GB2312" w:hAnsi="仿宋_GB2312" w:eastAsia="仿宋_GB2312" w:cs="仿宋_GB2312"/>
                <w:color w:val="auto"/>
                <w:szCs w:val="21"/>
              </w:rPr>
              <w:t>对从事有偿法律服务的违法所得予以没收。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1" w:hRule="atLeast"/>
        </w:trPr>
        <w:tc>
          <w:tcPr>
            <w:tcW w:w="704" w:type="dxa"/>
            <w:vMerge w:val="continue"/>
            <w:vAlign w:val="center"/>
          </w:tcPr>
          <w:p>
            <w:pPr>
              <w:jc w:val="left"/>
              <w:rPr>
                <w:rFonts w:hint="eastAsia" w:ascii="仿宋_GB2312" w:eastAsia="仿宋_GB2312"/>
                <w:color w:val="auto"/>
              </w:rPr>
            </w:pPr>
          </w:p>
        </w:tc>
        <w:tc>
          <w:tcPr>
            <w:tcW w:w="1619" w:type="dxa"/>
            <w:vMerge w:val="continue"/>
            <w:vAlign w:val="center"/>
          </w:tcPr>
          <w:p>
            <w:pPr>
              <w:jc w:val="left"/>
              <w:rPr>
                <w:rFonts w:hint="eastAsia" w:ascii="仿宋_GB2312" w:eastAsia="仿宋_GB2312"/>
                <w:color w:val="auto"/>
              </w:rPr>
            </w:pPr>
          </w:p>
        </w:tc>
        <w:tc>
          <w:tcPr>
            <w:tcW w:w="791" w:type="dxa"/>
            <w:vMerge w:val="continue"/>
            <w:vAlign w:val="center"/>
          </w:tcPr>
          <w:p>
            <w:pPr>
              <w:rPr>
                <w:rFonts w:hint="eastAsia" w:ascii="仿宋_GB2312" w:eastAsia="仿宋_GB2312"/>
                <w:color w:val="auto"/>
              </w:rPr>
            </w:pPr>
          </w:p>
        </w:tc>
        <w:tc>
          <w:tcPr>
            <w:tcW w:w="717" w:type="dxa"/>
            <w:vMerge w:val="continue"/>
            <w:vAlign w:val="center"/>
          </w:tcPr>
          <w:p>
            <w:pPr>
              <w:jc w:val="left"/>
              <w:rPr>
                <w:rFonts w:hint="eastAsia" w:ascii="仿宋_GB2312" w:eastAsia="仿宋_GB2312"/>
                <w:color w:val="auto"/>
              </w:rPr>
            </w:pPr>
          </w:p>
        </w:tc>
        <w:tc>
          <w:tcPr>
            <w:tcW w:w="7554" w:type="dxa"/>
            <w:vMerge w:val="continue"/>
            <w:vAlign w:val="center"/>
          </w:tcPr>
          <w:p>
            <w:pPr>
              <w:rPr>
                <w:rFonts w:hint="eastAsia" w:ascii="仿宋_GB2312" w:eastAsia="仿宋_GB2312"/>
                <w:color w:val="auto"/>
              </w:rPr>
            </w:pPr>
          </w:p>
        </w:tc>
        <w:tc>
          <w:tcPr>
            <w:tcW w:w="910" w:type="dxa"/>
            <w:vAlign w:val="center"/>
          </w:tcPr>
          <w:p>
            <w:pPr>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设区</w:t>
            </w:r>
          </w:p>
          <w:p>
            <w:pPr>
              <w:jc w:val="center"/>
              <w:rPr>
                <w:rFonts w:hint="eastAsia" w:ascii="仿宋_GB2312" w:eastAsia="仿宋_GB2312" w:cs="仿宋_GB2312"/>
                <w:color w:val="auto"/>
                <w:kern w:val="0"/>
                <w:szCs w:val="21"/>
              </w:rPr>
            </w:pPr>
            <w:r>
              <w:rPr>
                <w:rFonts w:hint="eastAsia" w:ascii="仿宋_GB2312" w:hAnsi="仿宋_GB2312" w:eastAsia="仿宋_GB2312" w:cs="仿宋_GB2312"/>
                <w:color w:val="auto"/>
                <w:kern w:val="0"/>
                <w:szCs w:val="21"/>
              </w:rPr>
              <w:t>的市</w:t>
            </w:r>
          </w:p>
        </w:tc>
        <w:tc>
          <w:tcPr>
            <w:tcW w:w="1567" w:type="dxa"/>
            <w:vAlign w:val="center"/>
          </w:tcPr>
          <w:p>
            <w:pPr>
              <w:widowControl/>
              <w:spacing w:line="270" w:lineRule="exact"/>
              <w:rPr>
                <w:rFonts w:hint="eastAsia" w:ascii="仿宋_GB2312" w:eastAsia="仿宋_GB2312" w:cs="仿宋_GB2312"/>
                <w:color w:val="auto"/>
                <w:kern w:val="0"/>
                <w:szCs w:val="21"/>
              </w:rPr>
            </w:pPr>
            <w:r>
              <w:rPr>
                <w:rFonts w:hint="eastAsia" w:ascii="仿宋_GB2312" w:hAnsi="仿宋_GB2312" w:eastAsia="仿宋_GB2312" w:cs="仿宋_GB2312"/>
                <w:color w:val="auto"/>
                <w:kern w:val="0"/>
                <w:szCs w:val="21"/>
              </w:rPr>
              <w:t>对从事有偿法律服务的违法所得予以没收。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8" w:hRule="atLeast"/>
        </w:trPr>
        <w:tc>
          <w:tcPr>
            <w:tcW w:w="704" w:type="dxa"/>
            <w:vMerge w:val="continue"/>
            <w:vAlign w:val="center"/>
          </w:tcPr>
          <w:p>
            <w:pPr>
              <w:jc w:val="left"/>
              <w:rPr>
                <w:rFonts w:hint="eastAsia" w:ascii="仿宋_GB2312" w:eastAsia="仿宋_GB2312" w:cs="仿宋_GB2312"/>
                <w:color w:val="auto"/>
                <w:kern w:val="0"/>
                <w:szCs w:val="21"/>
              </w:rPr>
            </w:pPr>
          </w:p>
        </w:tc>
        <w:tc>
          <w:tcPr>
            <w:tcW w:w="1619" w:type="dxa"/>
            <w:vMerge w:val="continue"/>
            <w:vAlign w:val="center"/>
          </w:tcPr>
          <w:p>
            <w:pPr>
              <w:jc w:val="left"/>
              <w:rPr>
                <w:rFonts w:hint="eastAsia" w:ascii="仿宋_GB2312" w:eastAsia="仿宋_GB2312" w:cs="仿宋_GB2312"/>
                <w:color w:val="auto"/>
                <w:kern w:val="0"/>
                <w:szCs w:val="21"/>
              </w:rPr>
            </w:pPr>
          </w:p>
        </w:tc>
        <w:tc>
          <w:tcPr>
            <w:tcW w:w="791" w:type="dxa"/>
            <w:vMerge w:val="continue"/>
            <w:vAlign w:val="center"/>
          </w:tcPr>
          <w:p>
            <w:pPr>
              <w:rPr>
                <w:rFonts w:hint="eastAsia" w:ascii="仿宋_GB2312" w:eastAsia="仿宋_GB2312" w:cs="仿宋_GB2312"/>
                <w:color w:val="auto"/>
                <w:kern w:val="0"/>
                <w:szCs w:val="21"/>
              </w:rPr>
            </w:pPr>
          </w:p>
        </w:tc>
        <w:tc>
          <w:tcPr>
            <w:tcW w:w="717" w:type="dxa"/>
            <w:vMerge w:val="continue"/>
            <w:vAlign w:val="center"/>
          </w:tcPr>
          <w:p>
            <w:pPr>
              <w:jc w:val="left"/>
              <w:rPr>
                <w:rFonts w:hint="eastAsia" w:ascii="仿宋_GB2312" w:eastAsia="仿宋_GB2312" w:cs="仿宋_GB2312"/>
                <w:color w:val="auto"/>
                <w:kern w:val="0"/>
                <w:szCs w:val="21"/>
              </w:rPr>
            </w:pPr>
          </w:p>
        </w:tc>
        <w:tc>
          <w:tcPr>
            <w:tcW w:w="7554" w:type="dxa"/>
            <w:vMerge w:val="continue"/>
            <w:vAlign w:val="center"/>
          </w:tcPr>
          <w:p>
            <w:pPr>
              <w:rPr>
                <w:rFonts w:hint="eastAsia" w:ascii="仿宋_GB2312" w:eastAsia="仿宋_GB2312" w:cs="仿宋_GB2312"/>
                <w:color w:val="auto"/>
                <w:kern w:val="0"/>
                <w:szCs w:val="21"/>
              </w:rPr>
            </w:pPr>
          </w:p>
        </w:tc>
        <w:tc>
          <w:tcPr>
            <w:tcW w:w="910" w:type="dxa"/>
            <w:vAlign w:val="center"/>
          </w:tcPr>
          <w:p>
            <w:pPr>
              <w:jc w:val="center"/>
              <w:rPr>
                <w:rFonts w:hint="eastAsia" w:ascii="仿宋_GB2312" w:eastAsia="仿宋_GB2312" w:cs="仿宋_GB2312"/>
                <w:color w:val="auto"/>
                <w:kern w:val="0"/>
                <w:szCs w:val="21"/>
              </w:rPr>
            </w:pPr>
            <w:r>
              <w:rPr>
                <w:rFonts w:hint="eastAsia" w:ascii="仿宋_GB2312" w:hAnsi="仿宋_GB2312" w:eastAsia="仿宋_GB2312" w:cs="仿宋_GB2312"/>
                <w:color w:val="auto"/>
                <w:kern w:val="0"/>
                <w:szCs w:val="21"/>
              </w:rPr>
              <w:t>县级</w:t>
            </w:r>
          </w:p>
        </w:tc>
        <w:tc>
          <w:tcPr>
            <w:tcW w:w="1567" w:type="dxa"/>
            <w:vAlign w:val="center"/>
          </w:tcPr>
          <w:p>
            <w:pPr>
              <w:widowControl/>
              <w:spacing w:line="270" w:lineRule="exact"/>
              <w:rPr>
                <w:rFonts w:hint="eastAsia" w:ascii="仿宋_GB2312" w:eastAsia="仿宋_GB2312" w:cs="仿宋_GB2312"/>
                <w:color w:val="auto"/>
                <w:kern w:val="0"/>
                <w:szCs w:val="21"/>
              </w:rPr>
            </w:pPr>
            <w:r>
              <w:rPr>
                <w:rFonts w:hint="eastAsia" w:ascii="仿宋_GB2312" w:hAnsi="仿宋_GB2312" w:eastAsia="仿宋_GB2312" w:cs="仿宋_GB2312"/>
                <w:color w:val="auto"/>
                <w:kern w:val="0"/>
                <w:szCs w:val="21"/>
              </w:rPr>
              <w:t>对从事有偿法律服务的违法所得予以没收。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04" w:type="dxa"/>
            <w:vMerge w:val="restart"/>
            <w:vAlign w:val="center"/>
          </w:tcPr>
          <w:p>
            <w:pPr>
              <w:tabs>
                <w:tab w:val="left" w:pos="262"/>
              </w:tabs>
              <w:spacing w:line="270" w:lineRule="exact"/>
              <w:jc w:val="center"/>
              <w:rPr>
                <w:rFonts w:hint="eastAsia" w:ascii="仿宋_GB2312" w:eastAsia="仿宋_GB2312" w:cs="仿宋_GB2312"/>
                <w:color w:val="auto"/>
                <w:sz w:val="18"/>
                <w:szCs w:val="18"/>
              </w:rPr>
            </w:pPr>
            <w:r>
              <w:rPr>
                <w:rFonts w:hint="eastAsia" w:ascii="仿宋_GB2312" w:hAnsi="仿宋_GB2312" w:eastAsia="仿宋_GB2312" w:cs="仿宋_GB2312"/>
                <w:color w:val="auto"/>
                <w:sz w:val="18"/>
                <w:szCs w:val="18"/>
              </w:rPr>
              <w:t>26</w:t>
            </w:r>
          </w:p>
        </w:tc>
        <w:tc>
          <w:tcPr>
            <w:tcW w:w="1619" w:type="dxa"/>
            <w:vMerge w:val="restart"/>
            <w:vAlign w:val="center"/>
          </w:tcPr>
          <w:p>
            <w:pPr>
              <w:spacing w:line="270" w:lineRule="exact"/>
              <w:rPr>
                <w:rFonts w:hint="eastAsia" w:ascii="仿宋_GB2312" w:eastAsia="仿宋_GB2312" w:cs="仿宋_GB2312"/>
                <w:color w:val="auto"/>
                <w:szCs w:val="21"/>
              </w:rPr>
            </w:pPr>
            <w:r>
              <w:rPr>
                <w:rFonts w:hint="eastAsia" w:ascii="仿宋_GB2312" w:hAnsi="仿宋_GB2312" w:eastAsia="仿宋_GB2312" w:cs="仿宋_GB2312"/>
                <w:color w:val="auto"/>
                <w:szCs w:val="21"/>
              </w:rPr>
              <w:t>对律师事务所拒绝法律援助机构的指派，不安排本所律师办理法律援助案件的处罚</w:t>
            </w:r>
          </w:p>
        </w:tc>
        <w:tc>
          <w:tcPr>
            <w:tcW w:w="791" w:type="dxa"/>
            <w:vMerge w:val="restart"/>
            <w:vAlign w:val="center"/>
          </w:tcPr>
          <w:p>
            <w:pPr>
              <w:spacing w:line="270" w:lineRule="exact"/>
              <w:rPr>
                <w:rFonts w:hint="eastAsia" w:ascii="仿宋_GB2312" w:eastAsia="仿宋_GB2312" w:cs="仿宋_GB2312"/>
                <w:color w:val="auto"/>
                <w:szCs w:val="21"/>
              </w:rPr>
            </w:pPr>
            <w:r>
              <w:rPr>
                <w:rFonts w:hint="eastAsia" w:ascii="仿宋_GB2312" w:eastAsia="仿宋_GB2312" w:cs="仿宋_GB2312"/>
                <w:color w:val="auto"/>
                <w:szCs w:val="21"/>
              </w:rPr>
              <w:t>0209026000</w:t>
            </w:r>
          </w:p>
        </w:tc>
        <w:tc>
          <w:tcPr>
            <w:tcW w:w="717" w:type="dxa"/>
            <w:vMerge w:val="restart"/>
            <w:vAlign w:val="center"/>
          </w:tcPr>
          <w:p>
            <w:pPr>
              <w:spacing w:line="270" w:lineRule="exact"/>
              <w:rPr>
                <w:rFonts w:hint="eastAsia" w:asci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554" w:type="dxa"/>
            <w:vMerge w:val="restart"/>
            <w:vAlign w:val="center"/>
          </w:tcPr>
          <w:p>
            <w:pPr>
              <w:spacing w:line="27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【行政法规】《法律援助条例》（2003年国务院令第385号）</w:t>
            </w:r>
          </w:p>
          <w:p>
            <w:pPr>
              <w:spacing w:line="270" w:lineRule="exact"/>
              <w:ind w:firstLine="420" w:firstLineChars="200"/>
              <w:rPr>
                <w:rFonts w:hint="eastAsia" w:ascii="仿宋_GB2312" w:eastAsia="仿宋_GB2312" w:cs="仿宋_GB2312"/>
                <w:color w:val="auto"/>
                <w:szCs w:val="21"/>
                <w:shd w:val="clear" w:color="auto" w:fill="FFFFFF"/>
              </w:rPr>
            </w:pPr>
            <w:r>
              <w:rPr>
                <w:rFonts w:hint="eastAsia" w:ascii="仿宋_GB2312" w:hAnsi="仿宋_GB2312" w:eastAsia="仿宋_GB2312" w:cs="仿宋_GB2312"/>
                <w:bCs/>
                <w:smallCaps/>
                <w:color w:val="auto"/>
                <w:szCs w:val="21"/>
              </w:rPr>
              <w:t>第二十七条</w:t>
            </w:r>
            <w:r>
              <w:rPr>
                <w:rFonts w:hint="eastAsia" w:ascii="仿宋_GB2312" w:hAnsi="仿宋_GB2312" w:eastAsia="仿宋_GB2312" w:cs="仿宋_GB2312"/>
                <w:color w:val="auto"/>
                <w:szCs w:val="21"/>
              </w:rPr>
              <w:t>　律师事务所拒绝法律援助机构的指派，不安排本所律师办理法律援助案件的，由司法行政部门给予警告、责令改正；情节严重的，给予１个月以上３个月以下停业整顿的处罚。</w:t>
            </w:r>
          </w:p>
        </w:tc>
        <w:tc>
          <w:tcPr>
            <w:tcW w:w="910" w:type="dxa"/>
            <w:vAlign w:val="center"/>
          </w:tcPr>
          <w:p>
            <w:pPr>
              <w:spacing w:line="270" w:lineRule="exact"/>
              <w:jc w:val="center"/>
              <w:rPr>
                <w:rFonts w:hint="eastAsia" w:ascii="仿宋_GB2312" w:eastAsia="仿宋_GB2312" w:cs="仿宋_GB2312"/>
                <w:color w:val="auto"/>
                <w:szCs w:val="21"/>
              </w:rPr>
            </w:pPr>
            <w:r>
              <w:rPr>
                <w:rFonts w:hint="eastAsia" w:ascii="仿宋_GB2312" w:hAnsi="仿宋_GB2312" w:eastAsia="仿宋_GB2312" w:cs="仿宋_GB2312"/>
                <w:color w:val="auto"/>
                <w:kern w:val="0"/>
                <w:szCs w:val="21"/>
              </w:rPr>
              <w:t>自治区</w:t>
            </w:r>
          </w:p>
        </w:tc>
        <w:tc>
          <w:tcPr>
            <w:tcW w:w="1567" w:type="dxa"/>
            <w:vAlign w:val="center"/>
          </w:tcPr>
          <w:p>
            <w:pPr>
              <w:spacing w:line="270" w:lineRule="exact"/>
              <w:rPr>
                <w:rFonts w:hint="eastAsia" w:ascii="仿宋_GB2312" w:eastAsia="仿宋_GB2312" w:cs="仿宋_GB2312"/>
                <w:color w:val="auto"/>
                <w:szCs w:val="21"/>
              </w:rPr>
            </w:pPr>
            <w:r>
              <w:rPr>
                <w:rFonts w:hint="eastAsia" w:ascii="仿宋_GB2312" w:hAnsi="仿宋_GB2312" w:eastAsia="仿宋_GB2312" w:cs="仿宋_GB2312"/>
                <w:color w:val="auto"/>
                <w:szCs w:val="21"/>
              </w:rPr>
              <w:t>给予警告；情节严重的，给予１个月以上３个月以下停业整顿。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04" w:type="dxa"/>
            <w:vMerge w:val="continue"/>
            <w:vAlign w:val="center"/>
          </w:tcPr>
          <w:p>
            <w:pPr>
              <w:spacing w:line="270" w:lineRule="exact"/>
              <w:jc w:val="left"/>
              <w:rPr>
                <w:rFonts w:hint="eastAsia" w:ascii="仿宋_GB2312" w:eastAsia="仿宋_GB2312" w:cs="仿宋_GB2312"/>
                <w:color w:val="auto"/>
                <w:sz w:val="18"/>
                <w:szCs w:val="18"/>
              </w:rPr>
            </w:pPr>
          </w:p>
        </w:tc>
        <w:tc>
          <w:tcPr>
            <w:tcW w:w="1619" w:type="dxa"/>
            <w:vMerge w:val="continue"/>
            <w:vAlign w:val="center"/>
          </w:tcPr>
          <w:p>
            <w:pPr>
              <w:spacing w:line="270" w:lineRule="exact"/>
              <w:rPr>
                <w:rFonts w:hint="eastAsia" w:ascii="仿宋_GB2312" w:eastAsia="仿宋_GB2312" w:cs="仿宋_GB2312"/>
                <w:color w:val="auto"/>
                <w:szCs w:val="21"/>
              </w:rPr>
            </w:pPr>
          </w:p>
        </w:tc>
        <w:tc>
          <w:tcPr>
            <w:tcW w:w="791" w:type="dxa"/>
            <w:vMerge w:val="continue"/>
            <w:vAlign w:val="center"/>
          </w:tcPr>
          <w:p>
            <w:pPr>
              <w:spacing w:line="270" w:lineRule="exact"/>
              <w:rPr>
                <w:rFonts w:hint="eastAsia" w:ascii="仿宋_GB2312" w:eastAsia="仿宋_GB2312" w:cs="仿宋_GB2312"/>
                <w:color w:val="auto"/>
                <w:szCs w:val="21"/>
              </w:rPr>
            </w:pPr>
          </w:p>
        </w:tc>
        <w:tc>
          <w:tcPr>
            <w:tcW w:w="717" w:type="dxa"/>
            <w:vMerge w:val="continue"/>
            <w:vAlign w:val="center"/>
          </w:tcPr>
          <w:p>
            <w:pPr>
              <w:spacing w:line="270" w:lineRule="exact"/>
              <w:rPr>
                <w:rFonts w:hint="eastAsia" w:ascii="仿宋_GB2312" w:eastAsia="仿宋_GB2312" w:cs="仿宋_GB2312"/>
                <w:color w:val="auto"/>
                <w:szCs w:val="21"/>
              </w:rPr>
            </w:pPr>
          </w:p>
        </w:tc>
        <w:tc>
          <w:tcPr>
            <w:tcW w:w="7554" w:type="dxa"/>
            <w:vMerge w:val="continue"/>
            <w:vAlign w:val="center"/>
          </w:tcPr>
          <w:p>
            <w:pPr>
              <w:spacing w:line="270" w:lineRule="exact"/>
              <w:rPr>
                <w:rFonts w:hint="eastAsia" w:ascii="仿宋_GB2312" w:eastAsia="仿宋_GB2312" w:cs="仿宋_GB2312"/>
                <w:color w:val="auto"/>
                <w:szCs w:val="21"/>
              </w:rPr>
            </w:pPr>
          </w:p>
        </w:tc>
        <w:tc>
          <w:tcPr>
            <w:tcW w:w="910" w:type="dxa"/>
            <w:vAlign w:val="center"/>
          </w:tcPr>
          <w:p>
            <w:pPr>
              <w:spacing w:line="270" w:lineRule="exact"/>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设区</w:t>
            </w:r>
          </w:p>
          <w:p>
            <w:pPr>
              <w:spacing w:line="270" w:lineRule="exact"/>
              <w:jc w:val="center"/>
              <w:rPr>
                <w:rFonts w:hint="eastAsia" w:ascii="仿宋_GB2312" w:eastAsia="仿宋_GB2312" w:cs="仿宋_GB2312"/>
                <w:color w:val="auto"/>
                <w:kern w:val="0"/>
                <w:szCs w:val="21"/>
              </w:rPr>
            </w:pPr>
            <w:r>
              <w:rPr>
                <w:rFonts w:hint="eastAsia" w:ascii="仿宋_GB2312" w:hAnsi="仿宋_GB2312" w:eastAsia="仿宋_GB2312" w:cs="仿宋_GB2312"/>
                <w:color w:val="auto"/>
                <w:kern w:val="0"/>
                <w:szCs w:val="21"/>
              </w:rPr>
              <w:t>的市</w:t>
            </w:r>
          </w:p>
        </w:tc>
        <w:tc>
          <w:tcPr>
            <w:tcW w:w="1567" w:type="dxa"/>
            <w:vAlign w:val="center"/>
          </w:tcPr>
          <w:p>
            <w:pPr>
              <w:spacing w:line="270" w:lineRule="exact"/>
              <w:rPr>
                <w:rFonts w:hint="eastAsia" w:ascii="仿宋_GB2312" w:eastAsia="仿宋_GB2312" w:cs="仿宋_GB2312"/>
                <w:color w:val="auto"/>
                <w:kern w:val="0"/>
                <w:szCs w:val="21"/>
              </w:rPr>
            </w:pPr>
            <w:r>
              <w:rPr>
                <w:rFonts w:hint="eastAsia" w:ascii="仿宋_GB2312" w:hAnsi="仿宋_GB2312" w:eastAsia="仿宋_GB2312" w:cs="仿宋_GB2312"/>
                <w:color w:val="auto"/>
                <w:szCs w:val="21"/>
              </w:rPr>
              <w:t>给予警告；情节严重的，给予１个月以上３个月以下停业整顿。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04" w:type="dxa"/>
            <w:vMerge w:val="continue"/>
            <w:vAlign w:val="center"/>
          </w:tcPr>
          <w:p>
            <w:pPr>
              <w:spacing w:line="270" w:lineRule="exact"/>
              <w:jc w:val="left"/>
              <w:rPr>
                <w:rFonts w:hint="eastAsia" w:ascii="仿宋_GB2312" w:eastAsia="仿宋_GB2312" w:cs="仿宋_GB2312"/>
                <w:color w:val="auto"/>
                <w:kern w:val="0"/>
                <w:sz w:val="18"/>
                <w:szCs w:val="18"/>
              </w:rPr>
            </w:pPr>
          </w:p>
        </w:tc>
        <w:tc>
          <w:tcPr>
            <w:tcW w:w="1619" w:type="dxa"/>
            <w:vMerge w:val="continue"/>
            <w:vAlign w:val="center"/>
          </w:tcPr>
          <w:p>
            <w:pPr>
              <w:spacing w:line="270" w:lineRule="exact"/>
              <w:rPr>
                <w:rFonts w:hint="eastAsia" w:ascii="仿宋_GB2312" w:eastAsia="仿宋_GB2312" w:cs="仿宋_GB2312"/>
                <w:color w:val="auto"/>
                <w:kern w:val="0"/>
                <w:szCs w:val="21"/>
              </w:rPr>
            </w:pPr>
          </w:p>
        </w:tc>
        <w:tc>
          <w:tcPr>
            <w:tcW w:w="791" w:type="dxa"/>
            <w:vMerge w:val="continue"/>
            <w:vAlign w:val="center"/>
          </w:tcPr>
          <w:p>
            <w:pPr>
              <w:spacing w:line="270" w:lineRule="exact"/>
              <w:rPr>
                <w:rFonts w:hint="eastAsia" w:ascii="仿宋_GB2312" w:eastAsia="仿宋_GB2312" w:cs="仿宋_GB2312"/>
                <w:color w:val="auto"/>
                <w:kern w:val="0"/>
                <w:szCs w:val="21"/>
              </w:rPr>
            </w:pPr>
          </w:p>
        </w:tc>
        <w:tc>
          <w:tcPr>
            <w:tcW w:w="717" w:type="dxa"/>
            <w:vMerge w:val="continue"/>
            <w:vAlign w:val="center"/>
          </w:tcPr>
          <w:p>
            <w:pPr>
              <w:spacing w:line="270" w:lineRule="exact"/>
              <w:rPr>
                <w:rFonts w:hint="eastAsia" w:ascii="仿宋_GB2312" w:eastAsia="仿宋_GB2312" w:cs="仿宋_GB2312"/>
                <w:color w:val="auto"/>
                <w:kern w:val="0"/>
                <w:szCs w:val="21"/>
              </w:rPr>
            </w:pPr>
          </w:p>
        </w:tc>
        <w:tc>
          <w:tcPr>
            <w:tcW w:w="7554" w:type="dxa"/>
            <w:vMerge w:val="continue"/>
            <w:vAlign w:val="center"/>
          </w:tcPr>
          <w:p>
            <w:pPr>
              <w:spacing w:line="270" w:lineRule="exact"/>
              <w:rPr>
                <w:rFonts w:hint="eastAsia" w:ascii="仿宋_GB2312" w:eastAsia="仿宋_GB2312" w:cs="仿宋_GB2312"/>
                <w:color w:val="auto"/>
                <w:kern w:val="0"/>
                <w:szCs w:val="21"/>
              </w:rPr>
            </w:pPr>
          </w:p>
        </w:tc>
        <w:tc>
          <w:tcPr>
            <w:tcW w:w="910" w:type="dxa"/>
            <w:vAlign w:val="center"/>
          </w:tcPr>
          <w:p>
            <w:pPr>
              <w:spacing w:line="270" w:lineRule="exact"/>
              <w:jc w:val="center"/>
              <w:rPr>
                <w:rFonts w:hint="eastAsia" w:ascii="仿宋_GB2312" w:eastAsia="仿宋_GB2312" w:cs="仿宋_GB2312"/>
                <w:color w:val="auto"/>
                <w:kern w:val="0"/>
                <w:szCs w:val="21"/>
              </w:rPr>
            </w:pPr>
            <w:r>
              <w:rPr>
                <w:rFonts w:hint="eastAsia" w:ascii="仿宋_GB2312" w:hAnsi="仿宋_GB2312" w:eastAsia="仿宋_GB2312" w:cs="仿宋_GB2312"/>
                <w:color w:val="auto"/>
                <w:kern w:val="0"/>
                <w:szCs w:val="21"/>
              </w:rPr>
              <w:t>县级</w:t>
            </w:r>
          </w:p>
        </w:tc>
        <w:tc>
          <w:tcPr>
            <w:tcW w:w="1567" w:type="dxa"/>
            <w:vAlign w:val="center"/>
          </w:tcPr>
          <w:p>
            <w:pPr>
              <w:spacing w:line="270" w:lineRule="exact"/>
              <w:rPr>
                <w:rFonts w:hint="eastAsia" w:ascii="仿宋_GB2312" w:eastAsia="仿宋_GB2312" w:cs="仿宋_GB2312"/>
                <w:color w:val="auto"/>
                <w:kern w:val="0"/>
                <w:szCs w:val="21"/>
              </w:rPr>
            </w:pPr>
            <w:r>
              <w:rPr>
                <w:rFonts w:hint="eastAsia" w:ascii="仿宋_GB2312" w:hAnsi="仿宋_GB2312" w:eastAsia="仿宋_GB2312" w:cs="仿宋_GB2312"/>
                <w:color w:val="auto"/>
                <w:szCs w:val="21"/>
              </w:rPr>
              <w:t>给予警告；情节严重的，给予１个月以上３个月以下停业整顿。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4" w:type="dxa"/>
            <w:vMerge w:val="restart"/>
            <w:vAlign w:val="center"/>
          </w:tcPr>
          <w:p>
            <w:pPr>
              <w:tabs>
                <w:tab w:val="left" w:pos="262"/>
              </w:tabs>
              <w:spacing w:line="270" w:lineRule="exact"/>
              <w:jc w:val="center"/>
              <w:rPr>
                <w:rFonts w:hint="eastAsia" w:ascii="仿宋_GB2312" w:eastAsia="仿宋_GB2312" w:cs="仿宋_GB2312"/>
                <w:color w:val="auto"/>
                <w:sz w:val="18"/>
                <w:szCs w:val="18"/>
              </w:rPr>
            </w:pPr>
            <w:r>
              <w:rPr>
                <w:rFonts w:hint="eastAsia" w:ascii="仿宋_GB2312" w:hAnsi="仿宋_GB2312" w:eastAsia="仿宋_GB2312" w:cs="仿宋_GB2312"/>
                <w:color w:val="auto"/>
                <w:sz w:val="18"/>
                <w:szCs w:val="18"/>
              </w:rPr>
              <w:t>27</w:t>
            </w:r>
          </w:p>
        </w:tc>
        <w:tc>
          <w:tcPr>
            <w:tcW w:w="1619" w:type="dxa"/>
            <w:vMerge w:val="restart"/>
            <w:vAlign w:val="center"/>
          </w:tcPr>
          <w:p>
            <w:pPr>
              <w:spacing w:line="270" w:lineRule="exact"/>
              <w:rPr>
                <w:rFonts w:hint="eastAsia" w:ascii="仿宋_GB2312" w:eastAsia="仿宋_GB2312" w:cs="仿宋_GB2312"/>
                <w:color w:val="auto"/>
                <w:szCs w:val="21"/>
              </w:rPr>
            </w:pPr>
            <w:r>
              <w:rPr>
                <w:rFonts w:hint="eastAsia" w:ascii="仿宋_GB2312" w:hAnsi="仿宋_GB2312" w:eastAsia="仿宋_GB2312" w:cs="仿宋_GB2312"/>
                <w:color w:val="auto"/>
                <w:szCs w:val="21"/>
              </w:rPr>
              <w:t>对律师无正当理由拒绝接受、擅自终止法律援助案件的、办理法律援助案件收取财物等行为的处罚</w:t>
            </w:r>
          </w:p>
        </w:tc>
        <w:tc>
          <w:tcPr>
            <w:tcW w:w="791" w:type="dxa"/>
            <w:vMerge w:val="restart"/>
            <w:vAlign w:val="center"/>
          </w:tcPr>
          <w:p>
            <w:pPr>
              <w:spacing w:line="270" w:lineRule="exact"/>
              <w:rPr>
                <w:rFonts w:hint="eastAsia" w:ascii="仿宋_GB2312" w:eastAsia="仿宋_GB2312" w:cs="仿宋_GB2312"/>
                <w:color w:val="auto"/>
                <w:szCs w:val="21"/>
              </w:rPr>
            </w:pPr>
            <w:r>
              <w:rPr>
                <w:rFonts w:hint="eastAsia" w:ascii="仿宋_GB2312" w:eastAsia="仿宋_GB2312" w:cs="仿宋_GB2312"/>
                <w:color w:val="auto"/>
                <w:szCs w:val="21"/>
              </w:rPr>
              <w:t>0209027000</w:t>
            </w:r>
          </w:p>
        </w:tc>
        <w:tc>
          <w:tcPr>
            <w:tcW w:w="717" w:type="dxa"/>
            <w:vMerge w:val="restart"/>
            <w:vAlign w:val="center"/>
          </w:tcPr>
          <w:p>
            <w:pPr>
              <w:spacing w:line="270" w:lineRule="exact"/>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554" w:type="dxa"/>
            <w:vMerge w:val="restart"/>
            <w:vAlign w:val="center"/>
          </w:tcPr>
          <w:p>
            <w:pPr>
              <w:spacing w:line="27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【行政法规】《法律援助条例》（2003年国务院令第385号）</w:t>
            </w:r>
          </w:p>
          <w:p>
            <w:pPr>
              <w:spacing w:line="27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bCs/>
                <w:smallCaps/>
                <w:color w:val="auto"/>
                <w:szCs w:val="21"/>
              </w:rPr>
              <w:t>第二十八条</w:t>
            </w:r>
            <w:r>
              <w:rPr>
                <w:rFonts w:hint="eastAsia" w:ascii="仿宋_GB2312" w:hAnsi="仿宋_GB2312" w:eastAsia="仿宋_GB2312" w:cs="仿宋_GB2312"/>
                <w:color w:val="auto"/>
                <w:szCs w:val="21"/>
              </w:rPr>
              <w:t>　律师有下列情形之一的，由司法行政部门给予警告、责令改正；情节严重的，给予１个月以上３个月以下停止执业的处罚：（一）无正当理由拒绝接受、擅自终止法律援助案件的；（二）办理法律援助案件收取财物的。</w:t>
            </w:r>
          </w:p>
          <w:p>
            <w:pPr>
              <w:spacing w:line="270" w:lineRule="exact"/>
              <w:ind w:firstLine="420" w:firstLineChars="200"/>
              <w:rPr>
                <w:rFonts w:hint="eastAsia" w:ascii="仿宋_GB2312" w:eastAsia="仿宋_GB2312" w:cs="仿宋_GB2312"/>
                <w:color w:val="auto"/>
                <w:szCs w:val="21"/>
                <w:shd w:val="clear" w:color="auto" w:fill="FFFFFF"/>
              </w:rPr>
            </w:pPr>
            <w:r>
              <w:rPr>
                <w:rFonts w:hint="eastAsia" w:ascii="仿宋_GB2312" w:hAnsi="仿宋_GB2312" w:eastAsia="仿宋_GB2312" w:cs="仿宋_GB2312"/>
                <w:color w:val="auto"/>
                <w:szCs w:val="21"/>
              </w:rPr>
              <w:t>有前款第（二）项违法行为的，由司法行政部门责令退还违法所得的财物，可以并处所收财物价值１倍以上３倍以下的罚款。</w:t>
            </w:r>
          </w:p>
        </w:tc>
        <w:tc>
          <w:tcPr>
            <w:tcW w:w="910" w:type="dxa"/>
            <w:vAlign w:val="center"/>
          </w:tcPr>
          <w:p>
            <w:pPr>
              <w:spacing w:line="270" w:lineRule="exact"/>
              <w:jc w:val="center"/>
              <w:rPr>
                <w:rFonts w:hint="eastAsia" w:ascii="仿宋_GB2312" w:eastAsia="仿宋_GB2312" w:cs="仿宋_GB2312"/>
                <w:color w:val="auto"/>
                <w:szCs w:val="21"/>
              </w:rPr>
            </w:pPr>
            <w:r>
              <w:rPr>
                <w:rFonts w:hint="eastAsia" w:ascii="仿宋_GB2312" w:hAnsi="仿宋_GB2312" w:eastAsia="仿宋_GB2312" w:cs="仿宋_GB2312"/>
                <w:color w:val="auto"/>
                <w:kern w:val="0"/>
                <w:szCs w:val="21"/>
              </w:rPr>
              <w:t>自治区</w:t>
            </w:r>
          </w:p>
        </w:tc>
        <w:tc>
          <w:tcPr>
            <w:tcW w:w="1567" w:type="dxa"/>
            <w:vAlign w:val="center"/>
          </w:tcPr>
          <w:p>
            <w:pPr>
              <w:spacing w:line="270" w:lineRule="exact"/>
              <w:rPr>
                <w:rFonts w:hint="eastAsia" w:ascii="仿宋_GB2312" w:eastAsia="仿宋_GB2312" w:cs="仿宋_GB2312"/>
                <w:color w:val="auto"/>
                <w:szCs w:val="21"/>
              </w:rPr>
            </w:pPr>
            <w:r>
              <w:rPr>
                <w:rFonts w:hint="eastAsia" w:ascii="仿宋_GB2312" w:hAnsi="仿宋_GB2312" w:eastAsia="仿宋_GB2312" w:cs="仿宋_GB2312"/>
                <w:color w:val="auto"/>
                <w:szCs w:val="21"/>
              </w:rPr>
              <w:t>给予警告；情节严重的，给予１个月以上３个月以下停止执业的处罚。责令退还违法所得的财物，可以并处所收财物价值１倍以上３倍以下的罚款。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4" w:type="dxa"/>
            <w:vMerge w:val="continue"/>
            <w:vAlign w:val="center"/>
          </w:tcPr>
          <w:p>
            <w:pPr>
              <w:spacing w:line="270" w:lineRule="exact"/>
              <w:rPr>
                <w:rFonts w:hint="eastAsia" w:ascii="仿宋_GB2312" w:eastAsia="仿宋_GB2312"/>
                <w:color w:val="auto"/>
              </w:rPr>
            </w:pPr>
          </w:p>
        </w:tc>
        <w:tc>
          <w:tcPr>
            <w:tcW w:w="1619" w:type="dxa"/>
            <w:vMerge w:val="continue"/>
            <w:vAlign w:val="center"/>
          </w:tcPr>
          <w:p>
            <w:pPr>
              <w:spacing w:line="270" w:lineRule="exact"/>
              <w:rPr>
                <w:rFonts w:hint="eastAsia" w:ascii="仿宋_GB2312" w:eastAsia="仿宋_GB2312"/>
                <w:color w:val="auto"/>
              </w:rPr>
            </w:pPr>
          </w:p>
        </w:tc>
        <w:tc>
          <w:tcPr>
            <w:tcW w:w="791" w:type="dxa"/>
            <w:vMerge w:val="continue"/>
            <w:vAlign w:val="center"/>
          </w:tcPr>
          <w:p>
            <w:pPr>
              <w:spacing w:line="270" w:lineRule="exact"/>
              <w:rPr>
                <w:rFonts w:hint="eastAsia" w:ascii="仿宋_GB2312" w:eastAsia="仿宋_GB2312"/>
                <w:color w:val="auto"/>
              </w:rPr>
            </w:pPr>
          </w:p>
        </w:tc>
        <w:tc>
          <w:tcPr>
            <w:tcW w:w="717" w:type="dxa"/>
            <w:vMerge w:val="continue"/>
            <w:vAlign w:val="center"/>
          </w:tcPr>
          <w:p>
            <w:pPr>
              <w:spacing w:line="270" w:lineRule="exact"/>
              <w:rPr>
                <w:rFonts w:hint="eastAsia" w:ascii="仿宋_GB2312" w:eastAsia="仿宋_GB2312"/>
                <w:color w:val="auto"/>
              </w:rPr>
            </w:pPr>
          </w:p>
        </w:tc>
        <w:tc>
          <w:tcPr>
            <w:tcW w:w="7554" w:type="dxa"/>
            <w:vMerge w:val="continue"/>
            <w:vAlign w:val="center"/>
          </w:tcPr>
          <w:p>
            <w:pPr>
              <w:spacing w:line="270" w:lineRule="exact"/>
              <w:rPr>
                <w:rFonts w:hint="eastAsia" w:ascii="仿宋_GB2312" w:eastAsia="仿宋_GB2312"/>
                <w:color w:val="auto"/>
              </w:rPr>
            </w:pPr>
          </w:p>
        </w:tc>
        <w:tc>
          <w:tcPr>
            <w:tcW w:w="910" w:type="dxa"/>
            <w:vAlign w:val="center"/>
          </w:tcPr>
          <w:p>
            <w:pPr>
              <w:spacing w:line="270" w:lineRule="exact"/>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设区</w:t>
            </w:r>
          </w:p>
          <w:p>
            <w:pPr>
              <w:spacing w:line="270" w:lineRule="exact"/>
              <w:jc w:val="center"/>
              <w:rPr>
                <w:rFonts w:hint="eastAsia" w:ascii="仿宋_GB2312" w:eastAsia="仿宋_GB2312" w:cs="仿宋_GB2312"/>
                <w:color w:val="auto"/>
                <w:kern w:val="0"/>
                <w:szCs w:val="21"/>
              </w:rPr>
            </w:pPr>
            <w:r>
              <w:rPr>
                <w:rFonts w:hint="eastAsia" w:ascii="仿宋_GB2312" w:hAnsi="仿宋_GB2312" w:eastAsia="仿宋_GB2312" w:cs="仿宋_GB2312"/>
                <w:color w:val="auto"/>
                <w:kern w:val="0"/>
                <w:szCs w:val="21"/>
              </w:rPr>
              <w:t>的市</w:t>
            </w:r>
          </w:p>
        </w:tc>
        <w:tc>
          <w:tcPr>
            <w:tcW w:w="1567" w:type="dxa"/>
            <w:vAlign w:val="center"/>
          </w:tcPr>
          <w:p>
            <w:pPr>
              <w:spacing w:line="270" w:lineRule="exact"/>
              <w:rPr>
                <w:rFonts w:hint="eastAsia" w:ascii="仿宋_GB2312" w:eastAsia="仿宋_GB2312" w:cs="仿宋_GB2312"/>
                <w:color w:val="auto"/>
                <w:kern w:val="0"/>
                <w:szCs w:val="21"/>
              </w:rPr>
            </w:pPr>
            <w:r>
              <w:rPr>
                <w:rFonts w:hint="eastAsia" w:ascii="仿宋_GB2312" w:hAnsi="仿宋_GB2312" w:eastAsia="仿宋_GB2312" w:cs="仿宋_GB2312"/>
                <w:color w:val="auto"/>
                <w:szCs w:val="21"/>
              </w:rPr>
              <w:t>给予警告；情节严重的，给予１个月以上３个月以下停止执业的处罚。责令退还违法所得的财物，可以并处所收财物价值１倍以上３倍以下的罚款。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5" w:hRule="atLeast"/>
        </w:trPr>
        <w:tc>
          <w:tcPr>
            <w:tcW w:w="704" w:type="dxa"/>
            <w:vMerge w:val="continue"/>
            <w:vAlign w:val="center"/>
          </w:tcPr>
          <w:p>
            <w:pPr>
              <w:spacing w:line="270" w:lineRule="exact"/>
              <w:rPr>
                <w:rFonts w:hint="eastAsia" w:ascii="仿宋_GB2312" w:eastAsia="仿宋_GB2312" w:cs="仿宋_GB2312"/>
                <w:color w:val="auto"/>
                <w:kern w:val="0"/>
                <w:szCs w:val="21"/>
              </w:rPr>
            </w:pPr>
          </w:p>
        </w:tc>
        <w:tc>
          <w:tcPr>
            <w:tcW w:w="1619" w:type="dxa"/>
            <w:vMerge w:val="continue"/>
            <w:vAlign w:val="center"/>
          </w:tcPr>
          <w:p>
            <w:pPr>
              <w:spacing w:line="270" w:lineRule="exact"/>
              <w:rPr>
                <w:rFonts w:hint="eastAsia" w:ascii="仿宋_GB2312" w:eastAsia="仿宋_GB2312" w:cs="仿宋_GB2312"/>
                <w:color w:val="auto"/>
                <w:kern w:val="0"/>
                <w:szCs w:val="21"/>
              </w:rPr>
            </w:pPr>
          </w:p>
        </w:tc>
        <w:tc>
          <w:tcPr>
            <w:tcW w:w="791" w:type="dxa"/>
            <w:vMerge w:val="continue"/>
            <w:vAlign w:val="center"/>
          </w:tcPr>
          <w:p>
            <w:pPr>
              <w:spacing w:line="270" w:lineRule="exact"/>
              <w:rPr>
                <w:rFonts w:hint="eastAsia" w:ascii="仿宋_GB2312" w:eastAsia="仿宋_GB2312" w:cs="仿宋_GB2312"/>
                <w:color w:val="auto"/>
                <w:kern w:val="0"/>
                <w:szCs w:val="21"/>
              </w:rPr>
            </w:pPr>
          </w:p>
        </w:tc>
        <w:tc>
          <w:tcPr>
            <w:tcW w:w="717" w:type="dxa"/>
            <w:vMerge w:val="continue"/>
            <w:vAlign w:val="center"/>
          </w:tcPr>
          <w:p>
            <w:pPr>
              <w:spacing w:line="270" w:lineRule="exact"/>
              <w:rPr>
                <w:rFonts w:hint="eastAsia" w:ascii="仿宋_GB2312" w:eastAsia="仿宋_GB2312" w:cs="仿宋_GB2312"/>
                <w:color w:val="auto"/>
                <w:kern w:val="0"/>
                <w:szCs w:val="21"/>
              </w:rPr>
            </w:pPr>
          </w:p>
        </w:tc>
        <w:tc>
          <w:tcPr>
            <w:tcW w:w="7554" w:type="dxa"/>
            <w:vMerge w:val="continue"/>
            <w:vAlign w:val="center"/>
          </w:tcPr>
          <w:p>
            <w:pPr>
              <w:spacing w:line="270" w:lineRule="exact"/>
              <w:rPr>
                <w:rFonts w:hint="eastAsia" w:ascii="仿宋_GB2312" w:eastAsia="仿宋_GB2312" w:cs="仿宋_GB2312"/>
                <w:color w:val="auto"/>
                <w:kern w:val="0"/>
                <w:szCs w:val="21"/>
              </w:rPr>
            </w:pPr>
          </w:p>
        </w:tc>
        <w:tc>
          <w:tcPr>
            <w:tcW w:w="910" w:type="dxa"/>
            <w:vAlign w:val="center"/>
          </w:tcPr>
          <w:p>
            <w:pPr>
              <w:spacing w:line="270" w:lineRule="exact"/>
              <w:jc w:val="center"/>
              <w:rPr>
                <w:rFonts w:hint="eastAsia" w:ascii="仿宋_GB2312" w:eastAsia="仿宋_GB2312" w:cs="仿宋_GB2312"/>
                <w:color w:val="auto"/>
                <w:kern w:val="0"/>
                <w:szCs w:val="21"/>
              </w:rPr>
            </w:pPr>
            <w:r>
              <w:rPr>
                <w:rFonts w:hint="eastAsia" w:ascii="仿宋_GB2312" w:hAnsi="仿宋_GB2312" w:eastAsia="仿宋_GB2312" w:cs="仿宋_GB2312"/>
                <w:color w:val="auto"/>
                <w:kern w:val="0"/>
                <w:szCs w:val="21"/>
              </w:rPr>
              <w:t>县级</w:t>
            </w:r>
          </w:p>
        </w:tc>
        <w:tc>
          <w:tcPr>
            <w:tcW w:w="1567" w:type="dxa"/>
            <w:vAlign w:val="center"/>
          </w:tcPr>
          <w:p>
            <w:pPr>
              <w:spacing w:line="270" w:lineRule="exact"/>
              <w:rPr>
                <w:rFonts w:hint="eastAsia" w:ascii="仿宋_GB2312" w:eastAsia="仿宋_GB2312" w:cs="仿宋_GB2312"/>
                <w:color w:val="auto"/>
                <w:kern w:val="0"/>
                <w:szCs w:val="21"/>
              </w:rPr>
            </w:pPr>
            <w:r>
              <w:rPr>
                <w:rFonts w:hint="eastAsia" w:ascii="仿宋_GB2312" w:hAnsi="仿宋_GB2312" w:eastAsia="仿宋_GB2312" w:cs="仿宋_GB2312"/>
                <w:color w:val="auto"/>
                <w:szCs w:val="21"/>
              </w:rPr>
              <w:t>给予警告；情节严重的，给予１个月以上３个月以下停止执业的处罚。责令退还违法所得的财物，可以并处所收财物价值１倍以上３倍以下的罚款。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4" w:type="dxa"/>
            <w:vAlign w:val="center"/>
          </w:tcPr>
          <w:p>
            <w:pPr>
              <w:spacing w:line="270" w:lineRule="exact"/>
              <w:jc w:val="center"/>
              <w:rPr>
                <w:rFonts w:hint="eastAsia" w:ascii="仿宋_GB2312" w:eastAsia="仿宋_GB2312" w:cs="仿宋_GB2312"/>
                <w:color w:val="auto"/>
                <w:kern w:val="0"/>
                <w:szCs w:val="21"/>
              </w:rPr>
            </w:pPr>
            <w:r>
              <w:rPr>
                <w:rFonts w:hint="eastAsia" w:ascii="仿宋_GB2312" w:hAnsi="仿宋_GB2312" w:eastAsia="仿宋_GB2312" w:cs="仿宋_GB2312"/>
                <w:color w:val="auto"/>
                <w:szCs w:val="21"/>
                <w:lang w:val="en-US" w:eastAsia="zh-CN"/>
              </w:rPr>
              <w:t>28</w:t>
            </w:r>
          </w:p>
        </w:tc>
        <w:tc>
          <w:tcPr>
            <w:tcW w:w="1619" w:type="dxa"/>
            <w:vAlign w:val="center"/>
          </w:tcPr>
          <w:p>
            <w:pPr>
              <w:spacing w:line="270" w:lineRule="exact"/>
              <w:rPr>
                <w:rFonts w:hint="eastAsia" w:ascii="仿宋_GB2312" w:eastAsia="仿宋_GB2312" w:cs="仿宋_GB2312"/>
                <w:color w:val="auto"/>
                <w:kern w:val="0"/>
                <w:szCs w:val="21"/>
              </w:rPr>
            </w:pPr>
            <w:r>
              <w:rPr>
                <w:rFonts w:hint="eastAsia" w:ascii="仿宋_GB2312" w:hAnsi="仿宋_GB2312" w:eastAsia="仿宋_GB2312" w:cs="仿宋_GB2312"/>
                <w:color w:val="auto"/>
                <w:szCs w:val="21"/>
              </w:rPr>
              <w:t>律师同时在两个以上律师事务所执业等行为的处罚</w:t>
            </w:r>
          </w:p>
        </w:tc>
        <w:tc>
          <w:tcPr>
            <w:tcW w:w="791" w:type="dxa"/>
            <w:vAlign w:val="center"/>
          </w:tcPr>
          <w:p>
            <w:pPr>
              <w:spacing w:line="270" w:lineRule="exact"/>
              <w:rPr>
                <w:rFonts w:hint="eastAsia" w:ascii="仿宋_GB2312" w:eastAsia="仿宋_GB2312" w:cs="仿宋_GB2312"/>
                <w:color w:val="auto"/>
                <w:kern w:val="0"/>
                <w:szCs w:val="21"/>
                <w:lang w:val="en-US" w:eastAsia="zh-CN"/>
              </w:rPr>
            </w:pPr>
            <w:r>
              <w:rPr>
                <w:rFonts w:hint="eastAsia" w:ascii="仿宋_GB2312" w:hAnsi="仿宋_GB2312" w:eastAsia="仿宋_GB2312" w:cs="仿宋_GB2312"/>
                <w:color w:val="auto"/>
                <w:szCs w:val="21"/>
              </w:rPr>
              <w:t>0209028000</w:t>
            </w:r>
          </w:p>
        </w:tc>
        <w:tc>
          <w:tcPr>
            <w:tcW w:w="717" w:type="dxa"/>
            <w:vAlign w:val="center"/>
          </w:tcPr>
          <w:p>
            <w:pPr>
              <w:spacing w:line="270" w:lineRule="exact"/>
              <w:jc w:val="center"/>
              <w:rPr>
                <w:rFonts w:hint="eastAsia" w:ascii="仿宋_GB2312" w:eastAsia="仿宋_GB2312" w:cs="仿宋_GB2312"/>
                <w:color w:val="auto"/>
                <w:kern w:val="0"/>
                <w:szCs w:val="21"/>
              </w:rPr>
            </w:pPr>
            <w:r>
              <w:rPr>
                <w:rFonts w:hint="eastAsia" w:ascii="仿宋_GB2312" w:hAnsi="仿宋_GB2312" w:eastAsia="仿宋_GB2312" w:cs="仿宋_GB2312"/>
                <w:color w:val="auto"/>
                <w:szCs w:val="21"/>
                <w:lang w:eastAsia="zh-CN"/>
              </w:rPr>
              <w:t>司法行政部门</w:t>
            </w:r>
          </w:p>
        </w:tc>
        <w:tc>
          <w:tcPr>
            <w:tcW w:w="7554" w:type="dxa"/>
            <w:vAlign w:val="center"/>
          </w:tcPr>
          <w:p>
            <w:pPr>
              <w:spacing w:line="27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【法律】《中华人民共和国律师法》（201</w:t>
            </w:r>
            <w:r>
              <w:rPr>
                <w:rFonts w:hint="eastAsia" w:ascii="仿宋_GB2312" w:hAnsi="仿宋_GB2312" w:eastAsia="仿宋_GB2312" w:cs="仿宋_GB2312"/>
                <w:color w:val="auto"/>
                <w:szCs w:val="21"/>
                <w:lang w:val="en-US" w:eastAsia="zh-CN"/>
              </w:rPr>
              <w:t>7</w:t>
            </w:r>
            <w:r>
              <w:rPr>
                <w:rFonts w:hint="eastAsia" w:ascii="仿宋_GB2312" w:hAnsi="仿宋_GB2312" w:eastAsia="仿宋_GB2312" w:cs="仿宋_GB2312"/>
                <w:color w:val="auto"/>
                <w:szCs w:val="21"/>
              </w:rPr>
              <w:t>年修正）</w:t>
            </w:r>
          </w:p>
          <w:p>
            <w:pPr>
              <w:spacing w:line="270" w:lineRule="exact"/>
              <w:rPr>
                <w:rFonts w:hint="eastAsia" w:ascii="仿宋_GB2312" w:eastAsia="仿宋_GB2312" w:cs="仿宋_GB2312"/>
                <w:color w:val="auto"/>
                <w:kern w:val="0"/>
                <w:szCs w:val="21"/>
              </w:rPr>
            </w:pPr>
            <w:r>
              <w:rPr>
                <w:rFonts w:hint="eastAsia" w:ascii="仿宋_GB2312" w:hAnsi="仿宋_GB2312" w:eastAsia="仿宋_GB2312" w:cs="仿宋_GB2312"/>
                <w:color w:val="auto"/>
                <w:szCs w:val="21"/>
              </w:rPr>
              <w:t xml:space="preserve">  第四十七条</w:t>
            </w:r>
            <w:r>
              <w:rPr>
                <w:rFonts w:hint="eastAsia" w:ascii="仿宋_GB2312" w:hAnsi="仿宋_GB2312" w:eastAsia="仿宋_GB2312" w:cs="仿宋_GB2312"/>
                <w:color w:val="auto"/>
                <w:szCs w:val="21"/>
                <w:lang w:val="en-US" w:eastAsia="zh-CN"/>
              </w:rPr>
              <w:t xml:space="preserve"> </w:t>
            </w:r>
            <w:r>
              <w:rPr>
                <w:rFonts w:hint="eastAsia" w:ascii="仿宋_GB2312" w:hAnsi="仿宋_GB2312" w:eastAsia="仿宋_GB2312" w:cs="仿宋_GB2312"/>
                <w:color w:val="auto"/>
                <w:szCs w:val="21"/>
              </w:rPr>
              <w:t>律师有下列行为之一的，由设区的市级或者直辖市的区人民政府司法行政部门给予警告，可以处五千元以下的罚款；有违法所得的，没收违法所得；情节严重的，给予停止执业三个月以下的处罚：（一）同时在两个以上律师事务所执业的；（二）以不正当手段承揽业务的；（三）在同一案件中为双方当事人担任代理人，或者代理与本人及其近亲属有利益冲突的法律事务的；（四）从人民法院、人民检察院离任后二年内担任诉讼代理人或者辩护人的；（五）拒绝履行法律援助义务的。</w:t>
            </w:r>
          </w:p>
        </w:tc>
        <w:tc>
          <w:tcPr>
            <w:tcW w:w="910" w:type="dxa"/>
            <w:vAlign w:val="center"/>
          </w:tcPr>
          <w:p>
            <w:pPr>
              <w:spacing w:line="270" w:lineRule="exact"/>
              <w:jc w:val="center"/>
              <w:rPr>
                <w:rFonts w:hint="eastAsia"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设区</w:t>
            </w:r>
          </w:p>
          <w:p>
            <w:pPr>
              <w:spacing w:line="270" w:lineRule="exact"/>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szCs w:val="21"/>
                <w:lang w:eastAsia="zh-CN"/>
              </w:rPr>
              <w:t>的市</w:t>
            </w:r>
          </w:p>
        </w:tc>
        <w:tc>
          <w:tcPr>
            <w:tcW w:w="1567" w:type="dxa"/>
            <w:vAlign w:val="center"/>
          </w:tcPr>
          <w:p>
            <w:pPr>
              <w:spacing w:line="27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处五千元以下的罚款；有违法所得的，没收违法所得；情节严重的，给予停止执业三个月以下的处罚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4" w:type="dxa"/>
            <w:vAlign w:val="center"/>
          </w:tcPr>
          <w:p>
            <w:pPr>
              <w:spacing w:line="270" w:lineRule="exact"/>
              <w:jc w:val="center"/>
              <w:rPr>
                <w:rFonts w:hint="eastAsia" w:ascii="仿宋_GB2312" w:eastAsia="仿宋_GB2312" w:cs="仿宋_GB2312"/>
                <w:color w:val="auto"/>
                <w:kern w:val="0"/>
                <w:szCs w:val="21"/>
              </w:rPr>
            </w:pPr>
            <w:r>
              <w:rPr>
                <w:rFonts w:hint="eastAsia" w:ascii="仿宋_GB2312" w:hAnsi="仿宋_GB2312" w:eastAsia="仿宋_GB2312" w:cs="仿宋_GB2312"/>
                <w:color w:val="auto"/>
                <w:szCs w:val="21"/>
                <w:lang w:val="en-US" w:eastAsia="zh-CN"/>
              </w:rPr>
              <w:t>29</w:t>
            </w:r>
          </w:p>
        </w:tc>
        <w:tc>
          <w:tcPr>
            <w:tcW w:w="1619" w:type="dxa"/>
            <w:vAlign w:val="center"/>
          </w:tcPr>
          <w:p>
            <w:pPr>
              <w:spacing w:line="270" w:lineRule="exact"/>
              <w:rPr>
                <w:rFonts w:hint="eastAsia" w:ascii="仿宋_GB2312" w:eastAsia="仿宋_GB2312" w:cs="仿宋_GB2312"/>
                <w:color w:val="auto"/>
                <w:kern w:val="0"/>
                <w:szCs w:val="21"/>
              </w:rPr>
            </w:pPr>
            <w:r>
              <w:rPr>
                <w:rFonts w:hint="eastAsia" w:ascii="仿宋_GB2312" w:hAnsi="仿宋_GB2312" w:eastAsia="仿宋_GB2312" w:cs="仿宋_GB2312"/>
                <w:color w:val="auto"/>
                <w:szCs w:val="21"/>
              </w:rPr>
              <w:t>律师私自接受委托、收取费用，接受委托人财物或者其他利益等</w:t>
            </w:r>
            <w:r>
              <w:rPr>
                <w:rFonts w:hint="eastAsia" w:ascii="仿宋_GB2312" w:hAnsi="仿宋_GB2312" w:eastAsia="仿宋_GB2312" w:cs="仿宋_GB2312"/>
                <w:color w:val="auto"/>
                <w:szCs w:val="21"/>
                <w:lang w:eastAsia="zh-CN"/>
              </w:rPr>
              <w:t>行为</w:t>
            </w:r>
            <w:r>
              <w:rPr>
                <w:rFonts w:hint="eastAsia" w:ascii="仿宋_GB2312" w:hAnsi="仿宋_GB2312" w:eastAsia="仿宋_GB2312" w:cs="仿宋_GB2312"/>
                <w:color w:val="auto"/>
                <w:szCs w:val="21"/>
              </w:rPr>
              <w:t>的处罚</w:t>
            </w:r>
          </w:p>
        </w:tc>
        <w:tc>
          <w:tcPr>
            <w:tcW w:w="791" w:type="dxa"/>
            <w:vAlign w:val="center"/>
          </w:tcPr>
          <w:p>
            <w:pPr>
              <w:spacing w:line="270" w:lineRule="exact"/>
              <w:rPr>
                <w:rFonts w:hint="eastAsia" w:ascii="仿宋_GB2312" w:eastAsia="仿宋_GB2312" w:cs="仿宋_GB2312"/>
                <w:color w:val="auto"/>
                <w:kern w:val="0"/>
                <w:szCs w:val="21"/>
                <w:lang w:val="en-US" w:eastAsia="zh-CN"/>
              </w:rPr>
            </w:pPr>
            <w:r>
              <w:rPr>
                <w:rFonts w:hint="eastAsia" w:ascii="仿宋_GB2312" w:hAnsi="仿宋_GB2312" w:eastAsia="仿宋_GB2312" w:cs="仿宋_GB2312"/>
                <w:color w:val="auto"/>
                <w:szCs w:val="21"/>
              </w:rPr>
              <w:t>0209</w:t>
            </w:r>
            <w:r>
              <w:rPr>
                <w:rFonts w:ascii="仿宋_GB2312" w:hAnsi="仿宋_GB2312" w:eastAsia="仿宋_GB2312" w:cs="仿宋_GB2312"/>
                <w:color w:val="auto"/>
                <w:szCs w:val="21"/>
              </w:rPr>
              <w:t>0</w:t>
            </w:r>
            <w:r>
              <w:rPr>
                <w:rFonts w:hint="eastAsia" w:ascii="仿宋_GB2312" w:hAnsi="仿宋_GB2312" w:eastAsia="仿宋_GB2312" w:cs="仿宋_GB2312"/>
                <w:color w:val="auto"/>
                <w:szCs w:val="21"/>
              </w:rPr>
              <w:t>29000</w:t>
            </w:r>
          </w:p>
        </w:tc>
        <w:tc>
          <w:tcPr>
            <w:tcW w:w="717" w:type="dxa"/>
            <w:vAlign w:val="center"/>
          </w:tcPr>
          <w:p>
            <w:pPr>
              <w:spacing w:line="270" w:lineRule="exact"/>
              <w:jc w:val="center"/>
              <w:rPr>
                <w:rFonts w:hint="eastAsia" w:ascii="仿宋_GB2312" w:eastAsia="仿宋_GB2312" w:cs="仿宋_GB2312"/>
                <w:color w:val="auto"/>
                <w:kern w:val="0"/>
                <w:szCs w:val="21"/>
              </w:rPr>
            </w:pPr>
            <w:r>
              <w:rPr>
                <w:rFonts w:hint="eastAsia" w:ascii="仿宋_GB2312" w:hAnsi="仿宋_GB2312" w:eastAsia="仿宋_GB2312" w:cs="仿宋_GB2312"/>
                <w:color w:val="auto"/>
                <w:szCs w:val="21"/>
                <w:lang w:eastAsia="zh-CN"/>
              </w:rPr>
              <w:t>司法行政部门</w:t>
            </w:r>
          </w:p>
        </w:tc>
        <w:tc>
          <w:tcPr>
            <w:tcW w:w="7554" w:type="dxa"/>
            <w:vAlign w:val="center"/>
          </w:tcPr>
          <w:p>
            <w:pPr>
              <w:spacing w:line="27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【法律】《中华人民共和国律师法》（201</w:t>
            </w:r>
            <w:r>
              <w:rPr>
                <w:rFonts w:hint="eastAsia" w:ascii="仿宋_GB2312" w:hAnsi="仿宋_GB2312" w:eastAsia="仿宋_GB2312" w:cs="仿宋_GB2312"/>
                <w:color w:val="auto"/>
                <w:szCs w:val="21"/>
                <w:lang w:val="en-US" w:eastAsia="zh-CN"/>
              </w:rPr>
              <w:t>7</w:t>
            </w:r>
            <w:r>
              <w:rPr>
                <w:rFonts w:hint="eastAsia" w:ascii="仿宋_GB2312" w:hAnsi="仿宋_GB2312" w:eastAsia="仿宋_GB2312" w:cs="仿宋_GB2312"/>
                <w:color w:val="auto"/>
                <w:szCs w:val="21"/>
              </w:rPr>
              <w:t>年修正）</w:t>
            </w:r>
          </w:p>
          <w:p>
            <w:pPr>
              <w:spacing w:line="270" w:lineRule="exact"/>
              <w:rPr>
                <w:rFonts w:hint="eastAsia" w:ascii="仿宋_GB2312" w:eastAsia="仿宋_GB2312" w:cs="仿宋_GB2312"/>
                <w:color w:val="auto"/>
                <w:kern w:val="0"/>
                <w:szCs w:val="21"/>
              </w:rPr>
            </w:pPr>
            <w:r>
              <w:rPr>
                <w:rFonts w:hint="eastAsia" w:ascii="仿宋_GB2312" w:hAnsi="仿宋_GB2312" w:eastAsia="仿宋_GB2312" w:cs="仿宋_GB2312"/>
                <w:color w:val="auto"/>
                <w:szCs w:val="21"/>
              </w:rPr>
              <w:t xml:space="preserve">  第四十八条 律师有下列行为之一的，由设区的市级或者直辖市的区人民政府司法行政部门给予警告，可以处一万元以下的罚款；有违法所得的，没收违法所得；情节严重的，给予停止执业三个月以上六个月以下的处罚：（一）私自接受委托、收取费用，接受委托人财物或者其他利益的；（二）接受委托后，无正当理由，拒绝辩护或者代理，不按时出庭参加诉讼或者仲裁的；（三）利用提供法律服务的便利牟取当事人争议的权益的；（四）泄露商业秘密或者个人隐私的。</w:t>
            </w:r>
          </w:p>
        </w:tc>
        <w:tc>
          <w:tcPr>
            <w:tcW w:w="910" w:type="dxa"/>
            <w:vAlign w:val="center"/>
          </w:tcPr>
          <w:p>
            <w:pPr>
              <w:spacing w:line="270" w:lineRule="exact"/>
              <w:jc w:val="center"/>
              <w:rPr>
                <w:rFonts w:hint="eastAsia"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设区</w:t>
            </w:r>
          </w:p>
          <w:p>
            <w:pPr>
              <w:spacing w:line="270" w:lineRule="exact"/>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szCs w:val="21"/>
                <w:lang w:eastAsia="zh-CN"/>
              </w:rPr>
              <w:t>的市</w:t>
            </w:r>
          </w:p>
        </w:tc>
        <w:tc>
          <w:tcPr>
            <w:tcW w:w="1567" w:type="dxa"/>
            <w:vAlign w:val="center"/>
          </w:tcPr>
          <w:p>
            <w:pPr>
              <w:spacing w:line="27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给予警告，可以处一万元以下的罚款；有违法所得的，没收违法所得；情节严重的，给予停止执业三个月以上六个月以下的处罚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0" w:hRule="atLeast"/>
        </w:trPr>
        <w:tc>
          <w:tcPr>
            <w:tcW w:w="704" w:type="dxa"/>
            <w:vAlign w:val="center"/>
          </w:tcPr>
          <w:p>
            <w:pPr>
              <w:spacing w:line="270" w:lineRule="exact"/>
              <w:jc w:val="center"/>
              <w:rPr>
                <w:rFonts w:hint="eastAsia" w:ascii="仿宋_GB2312" w:eastAsia="仿宋_GB2312" w:cs="仿宋_GB2312"/>
                <w:color w:val="auto"/>
                <w:kern w:val="0"/>
                <w:szCs w:val="21"/>
              </w:rPr>
            </w:pPr>
            <w:r>
              <w:rPr>
                <w:rFonts w:hint="eastAsia" w:ascii="仿宋_GB2312" w:hAnsi="仿宋_GB2312" w:eastAsia="仿宋_GB2312" w:cs="仿宋_GB2312"/>
                <w:color w:val="auto"/>
                <w:szCs w:val="21"/>
                <w:lang w:val="en-US" w:eastAsia="zh-CN"/>
              </w:rPr>
              <w:t>30</w:t>
            </w:r>
          </w:p>
        </w:tc>
        <w:tc>
          <w:tcPr>
            <w:tcW w:w="1619" w:type="dxa"/>
            <w:vAlign w:val="center"/>
          </w:tcPr>
          <w:p>
            <w:pPr>
              <w:spacing w:line="270" w:lineRule="exact"/>
              <w:rPr>
                <w:rFonts w:hint="eastAsia" w:ascii="仿宋_GB2312" w:eastAsia="仿宋_GB2312" w:cs="仿宋_GB2312"/>
                <w:color w:val="auto"/>
                <w:kern w:val="0"/>
                <w:szCs w:val="21"/>
              </w:rPr>
            </w:pPr>
            <w:r>
              <w:rPr>
                <w:rFonts w:hint="eastAsia" w:ascii="仿宋_GB2312" w:hAnsi="仿宋_GB2312" w:eastAsia="仿宋_GB2312" w:cs="仿宋_GB2312"/>
                <w:color w:val="auto"/>
                <w:szCs w:val="21"/>
              </w:rPr>
              <w:t>律师违反规定会见法官、检察官、仲裁员以及其他有关工作人员，或者以其他不正当方式影响依法办理案件等行为的处罚</w:t>
            </w:r>
          </w:p>
        </w:tc>
        <w:tc>
          <w:tcPr>
            <w:tcW w:w="791" w:type="dxa"/>
            <w:vAlign w:val="center"/>
          </w:tcPr>
          <w:p>
            <w:pPr>
              <w:spacing w:line="270" w:lineRule="exact"/>
              <w:rPr>
                <w:rFonts w:hint="eastAsia" w:ascii="仿宋_GB2312" w:eastAsia="仿宋_GB2312" w:cs="仿宋_GB2312"/>
                <w:color w:val="auto"/>
                <w:kern w:val="0"/>
                <w:szCs w:val="21"/>
              </w:rPr>
            </w:pPr>
            <w:r>
              <w:rPr>
                <w:rFonts w:hint="eastAsia" w:ascii="仿宋_GB2312" w:hAnsi="仿宋_GB2312" w:eastAsia="仿宋_GB2312" w:cs="仿宋_GB2312"/>
                <w:color w:val="auto"/>
                <w:szCs w:val="21"/>
              </w:rPr>
              <w:t>0209</w:t>
            </w:r>
            <w:r>
              <w:rPr>
                <w:rFonts w:ascii="仿宋_GB2312" w:hAnsi="仿宋_GB2312" w:eastAsia="仿宋_GB2312" w:cs="仿宋_GB2312"/>
                <w:color w:val="auto"/>
                <w:szCs w:val="21"/>
              </w:rPr>
              <w:t>0</w:t>
            </w:r>
            <w:r>
              <w:rPr>
                <w:rFonts w:hint="eastAsia" w:ascii="仿宋_GB2312" w:hAnsi="仿宋_GB2312" w:eastAsia="仿宋_GB2312" w:cs="仿宋_GB2312"/>
                <w:color w:val="auto"/>
                <w:szCs w:val="21"/>
              </w:rPr>
              <w:t>30000</w:t>
            </w:r>
          </w:p>
        </w:tc>
        <w:tc>
          <w:tcPr>
            <w:tcW w:w="717" w:type="dxa"/>
            <w:vAlign w:val="center"/>
          </w:tcPr>
          <w:p>
            <w:pPr>
              <w:spacing w:line="270" w:lineRule="exact"/>
              <w:jc w:val="center"/>
              <w:rPr>
                <w:rFonts w:hint="eastAsia" w:ascii="仿宋_GB2312" w:eastAsia="仿宋_GB2312" w:cs="仿宋_GB2312"/>
                <w:color w:val="auto"/>
                <w:kern w:val="0"/>
                <w:szCs w:val="21"/>
              </w:rPr>
            </w:pPr>
            <w:r>
              <w:rPr>
                <w:rFonts w:hint="eastAsia" w:ascii="仿宋_GB2312" w:hAnsi="仿宋_GB2312" w:eastAsia="仿宋_GB2312" w:cs="仿宋_GB2312"/>
                <w:color w:val="auto"/>
                <w:szCs w:val="21"/>
                <w:lang w:eastAsia="zh-CN"/>
              </w:rPr>
              <w:t>司法行政部门</w:t>
            </w:r>
          </w:p>
        </w:tc>
        <w:tc>
          <w:tcPr>
            <w:tcW w:w="7554" w:type="dxa"/>
            <w:vAlign w:val="center"/>
          </w:tcPr>
          <w:p>
            <w:pPr>
              <w:spacing w:line="27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 xml:space="preserve">  【法律】《中华人民共和国律师法》（201</w:t>
            </w:r>
            <w:r>
              <w:rPr>
                <w:rFonts w:hint="eastAsia" w:ascii="仿宋_GB2312" w:hAnsi="仿宋_GB2312" w:eastAsia="仿宋_GB2312" w:cs="仿宋_GB2312"/>
                <w:color w:val="auto"/>
                <w:szCs w:val="21"/>
                <w:lang w:val="en-US" w:eastAsia="zh-CN"/>
              </w:rPr>
              <w:t>7</w:t>
            </w:r>
            <w:r>
              <w:rPr>
                <w:rFonts w:hint="eastAsia" w:ascii="仿宋_GB2312" w:hAnsi="仿宋_GB2312" w:eastAsia="仿宋_GB2312" w:cs="仿宋_GB2312"/>
                <w:color w:val="auto"/>
                <w:szCs w:val="21"/>
              </w:rPr>
              <w:t>年修正）</w:t>
            </w:r>
          </w:p>
          <w:p>
            <w:pPr>
              <w:spacing w:line="270" w:lineRule="exact"/>
              <w:rPr>
                <w:rFonts w:hint="eastAsia" w:ascii="仿宋_GB2312" w:eastAsia="仿宋_GB2312" w:cs="仿宋_GB2312"/>
                <w:color w:val="auto"/>
                <w:kern w:val="0"/>
                <w:szCs w:val="21"/>
              </w:rPr>
            </w:pPr>
            <w:r>
              <w:rPr>
                <w:rFonts w:hint="eastAsia" w:ascii="仿宋_GB2312" w:hAnsi="仿宋_GB2312" w:eastAsia="仿宋_GB2312" w:cs="仿宋_GB2312"/>
                <w:color w:val="auto"/>
                <w:szCs w:val="21"/>
              </w:rPr>
              <w:t xml:space="preserve">  第四十九条 律师有下列行为之一的，由设区的市级或者直辖市的区人民政府司法行政部门给予停止执业六个月以上一年以下的处罚，可以处五万元以下的罚款；有违法所得的，没收违法所得；情节严重的，由省、自治区、直辖市人民政府司法行政部门吊销其律师执业证书；构成犯罪的，依法追究刑事责任：（一）违反规定会见法官、检察官、仲裁员以及其他有关工作人员，或者以其他不正当方式影响依法办理案件的；（二）向法官、检察官、仲裁员以及其他有关工作人员行贿，介绍贿赂或者指使、诱导当事人行贿的；（三）向司法行政部门提供虚假材料或者有其他弄虚作假行为的；（四）故意提供虚假证据或者威胁、利诱他人提供虚假证据，妨碍对方当事人合法取得证据的；（五）接受对方当事人财物或者其他利益，与对方当事人或者第三人恶意串通，侵害委托人权益的；（六）扰乱法庭、仲裁庭秩序，干扰诉讼、仲裁活动的正常进行的；（七）煽动、教唆当事人采取扰乱公共秩序、危害公共安全等非法手段解决争议的；（八）发表危害国家安全、恶意诽谤他人、严重扰乱法庭秩序的言论的；（九）泄露国家秘密的。       </w:t>
            </w:r>
          </w:p>
        </w:tc>
        <w:tc>
          <w:tcPr>
            <w:tcW w:w="910" w:type="dxa"/>
            <w:vAlign w:val="center"/>
          </w:tcPr>
          <w:p>
            <w:pPr>
              <w:spacing w:line="270" w:lineRule="exact"/>
              <w:jc w:val="center"/>
              <w:rPr>
                <w:rFonts w:hint="eastAsia"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设区</w:t>
            </w:r>
          </w:p>
          <w:p>
            <w:pPr>
              <w:spacing w:line="270" w:lineRule="exact"/>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szCs w:val="21"/>
                <w:lang w:eastAsia="zh-CN"/>
              </w:rPr>
              <w:t>的市</w:t>
            </w:r>
          </w:p>
        </w:tc>
        <w:tc>
          <w:tcPr>
            <w:tcW w:w="1567" w:type="dxa"/>
            <w:vAlign w:val="center"/>
          </w:tcPr>
          <w:p>
            <w:pPr>
              <w:spacing w:line="27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给予停止执业六个月以上一年以下的处罚，可以处五万元以下的罚款；有违法所得的，没收违法所得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4" w:type="dxa"/>
            <w:vAlign w:val="center"/>
          </w:tcPr>
          <w:p>
            <w:pPr>
              <w:spacing w:line="270" w:lineRule="exact"/>
              <w:jc w:val="center"/>
              <w:rPr>
                <w:rFonts w:hint="eastAsia" w:ascii="仿宋_GB2312" w:eastAsia="仿宋_GB2312" w:cs="仿宋_GB2312"/>
                <w:color w:val="auto"/>
                <w:kern w:val="0"/>
                <w:szCs w:val="21"/>
              </w:rPr>
            </w:pPr>
            <w:r>
              <w:rPr>
                <w:rFonts w:hint="eastAsia" w:ascii="仿宋_GB2312" w:hAnsi="仿宋_GB2312" w:eastAsia="仿宋_GB2312" w:cs="仿宋_GB2312"/>
                <w:color w:val="auto"/>
                <w:szCs w:val="21"/>
                <w:lang w:val="en-US" w:eastAsia="zh-CN"/>
              </w:rPr>
              <w:t>31</w:t>
            </w:r>
          </w:p>
        </w:tc>
        <w:tc>
          <w:tcPr>
            <w:tcW w:w="1619" w:type="dxa"/>
            <w:vAlign w:val="center"/>
          </w:tcPr>
          <w:p>
            <w:pPr>
              <w:spacing w:line="270" w:lineRule="exact"/>
              <w:rPr>
                <w:rFonts w:hint="eastAsia" w:ascii="仿宋_GB2312" w:eastAsia="仿宋_GB2312" w:cs="仿宋_GB2312"/>
                <w:color w:val="auto"/>
                <w:kern w:val="0"/>
                <w:szCs w:val="21"/>
              </w:rPr>
            </w:pPr>
            <w:r>
              <w:rPr>
                <w:rFonts w:hint="eastAsia" w:ascii="仿宋_GB2312" w:hAnsi="仿宋_GB2312" w:eastAsia="仿宋_GB2312" w:cs="仿宋_GB2312"/>
                <w:color w:val="auto"/>
                <w:szCs w:val="21"/>
              </w:rPr>
              <w:t>律师事务所违反规定接受委托、收取费用等行为的处罚</w:t>
            </w:r>
          </w:p>
        </w:tc>
        <w:tc>
          <w:tcPr>
            <w:tcW w:w="791" w:type="dxa"/>
            <w:vAlign w:val="center"/>
          </w:tcPr>
          <w:p>
            <w:pPr>
              <w:spacing w:line="270" w:lineRule="exact"/>
              <w:rPr>
                <w:rFonts w:hint="eastAsia" w:ascii="仿宋_GB2312" w:eastAsia="仿宋_GB2312" w:cs="仿宋_GB2312"/>
                <w:color w:val="auto"/>
                <w:kern w:val="0"/>
                <w:szCs w:val="21"/>
              </w:rPr>
            </w:pPr>
            <w:r>
              <w:rPr>
                <w:rFonts w:hint="eastAsia" w:ascii="仿宋_GB2312" w:hAnsi="仿宋_GB2312" w:eastAsia="仿宋_GB2312" w:cs="仿宋_GB2312"/>
                <w:color w:val="auto"/>
                <w:szCs w:val="21"/>
              </w:rPr>
              <w:t>0209</w:t>
            </w:r>
            <w:r>
              <w:rPr>
                <w:rFonts w:ascii="仿宋_GB2312" w:hAnsi="仿宋_GB2312" w:eastAsia="仿宋_GB2312" w:cs="仿宋_GB2312"/>
                <w:color w:val="auto"/>
                <w:szCs w:val="21"/>
              </w:rPr>
              <w:t>031000</w:t>
            </w:r>
          </w:p>
        </w:tc>
        <w:tc>
          <w:tcPr>
            <w:tcW w:w="717" w:type="dxa"/>
            <w:vAlign w:val="center"/>
          </w:tcPr>
          <w:p>
            <w:pPr>
              <w:spacing w:line="270" w:lineRule="exact"/>
              <w:jc w:val="center"/>
              <w:rPr>
                <w:rFonts w:hint="eastAsia" w:ascii="仿宋_GB2312" w:eastAsia="仿宋_GB2312" w:cs="仿宋_GB2312"/>
                <w:color w:val="auto"/>
                <w:kern w:val="0"/>
                <w:szCs w:val="21"/>
              </w:rPr>
            </w:pPr>
            <w:r>
              <w:rPr>
                <w:rFonts w:hint="eastAsia" w:ascii="仿宋_GB2312" w:hAnsi="仿宋_GB2312" w:eastAsia="仿宋_GB2312" w:cs="仿宋_GB2312"/>
                <w:color w:val="auto"/>
                <w:szCs w:val="21"/>
                <w:lang w:eastAsia="zh-CN"/>
              </w:rPr>
              <w:t>司法行政部门</w:t>
            </w:r>
          </w:p>
        </w:tc>
        <w:tc>
          <w:tcPr>
            <w:tcW w:w="7554" w:type="dxa"/>
            <w:vAlign w:val="center"/>
          </w:tcPr>
          <w:p>
            <w:pPr>
              <w:spacing w:line="27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【法律】《中华人民共和国律师法》（201</w:t>
            </w:r>
            <w:r>
              <w:rPr>
                <w:rFonts w:hint="eastAsia" w:ascii="仿宋_GB2312" w:hAnsi="仿宋_GB2312" w:eastAsia="仿宋_GB2312" w:cs="仿宋_GB2312"/>
                <w:color w:val="auto"/>
                <w:szCs w:val="21"/>
                <w:lang w:val="en-US" w:eastAsia="zh-CN"/>
              </w:rPr>
              <w:t>7</w:t>
            </w:r>
            <w:r>
              <w:rPr>
                <w:rFonts w:hint="eastAsia" w:ascii="仿宋_GB2312" w:hAnsi="仿宋_GB2312" w:eastAsia="仿宋_GB2312" w:cs="仿宋_GB2312"/>
                <w:color w:val="auto"/>
                <w:szCs w:val="21"/>
              </w:rPr>
              <w:t>年修正）</w:t>
            </w:r>
          </w:p>
          <w:p>
            <w:pPr>
              <w:spacing w:line="27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 xml:space="preserve">  第五十条 律师事务所有下列行为之一的，由设区的市级或者直辖市的区人民政府司法行政部门视其情节；情节特别严重的，由省、自治区、直辖市人民政府司法行政部门吊销律师事务所执业证书：（一）违反规定接受委托、收取费用的；（二）违反法定程序办理变更名称、负责人、章程、合伙协议、住所、合伙人等重大事项的；（三）从事法律服务以外的经营活动的；（四）以诋毁其他律师事务所、律师或者支付介绍费等不正当手段承揽业务的；（五）违反规定接受有利益冲突的案件的；（六）拒绝履行法律援助义务的；（七）向司法行政部门提供虚假材料或者有其他弄虚作假行为的；（八）对本所律师疏于管理，造成严重后果的。</w:t>
            </w:r>
          </w:p>
          <w:p>
            <w:pPr>
              <w:spacing w:line="27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 xml:space="preserve">  律师事务所因前款违法行为受到处罚的，对其负责人视情节轻重，给予警告或者二万元以下的罚款。</w:t>
            </w:r>
          </w:p>
          <w:p>
            <w:pPr>
              <w:spacing w:line="27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【行政法规】《法律援助条例》（2003年国务院令第385号）</w:t>
            </w:r>
          </w:p>
          <w:p>
            <w:pPr>
              <w:spacing w:line="270" w:lineRule="exact"/>
              <w:rPr>
                <w:rFonts w:hint="eastAsia" w:ascii="仿宋_GB2312" w:eastAsia="仿宋_GB2312" w:cs="仿宋_GB2312"/>
                <w:color w:val="auto"/>
                <w:kern w:val="0"/>
                <w:szCs w:val="21"/>
              </w:rPr>
            </w:pPr>
            <w:r>
              <w:rPr>
                <w:rFonts w:hint="eastAsia" w:ascii="仿宋_GB2312" w:hAnsi="仿宋_GB2312" w:eastAsia="仿宋_GB2312" w:cs="仿宋_GB2312"/>
                <w:color w:val="auto"/>
                <w:szCs w:val="21"/>
              </w:rPr>
              <w:t>第二十七条</w:t>
            </w:r>
            <w:r>
              <w:rPr>
                <w:rFonts w:hint="eastAsia" w:ascii="仿宋_GB2312" w:hAnsi="仿宋_GB2312" w:eastAsia="仿宋_GB2312" w:cs="仿宋_GB2312"/>
                <w:color w:val="auto"/>
                <w:szCs w:val="21"/>
                <w:lang w:val="en-US" w:eastAsia="zh-CN"/>
              </w:rPr>
              <w:t xml:space="preserve"> </w:t>
            </w:r>
            <w:r>
              <w:rPr>
                <w:rFonts w:hint="eastAsia" w:ascii="仿宋_GB2312" w:hAnsi="仿宋_GB2312" w:eastAsia="仿宋_GB2312" w:cs="仿宋_GB2312"/>
                <w:color w:val="auto"/>
                <w:szCs w:val="21"/>
              </w:rPr>
              <w:t>律师事务所拒绝法律援助机构的指派，不安排本所律师办理法律援助案件的，由司法行政部门给予警告、责令改正；情节严重的，给予1个月以上3个月以下停业整顿的处罚。</w:t>
            </w:r>
          </w:p>
        </w:tc>
        <w:tc>
          <w:tcPr>
            <w:tcW w:w="910" w:type="dxa"/>
            <w:vAlign w:val="center"/>
          </w:tcPr>
          <w:p>
            <w:pPr>
              <w:spacing w:line="270" w:lineRule="exact"/>
              <w:jc w:val="center"/>
              <w:rPr>
                <w:rFonts w:hint="eastAsia"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设区</w:t>
            </w:r>
          </w:p>
          <w:p>
            <w:pPr>
              <w:spacing w:line="270" w:lineRule="exact"/>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szCs w:val="21"/>
                <w:lang w:eastAsia="zh-CN"/>
              </w:rPr>
              <w:t>的市</w:t>
            </w:r>
          </w:p>
        </w:tc>
        <w:tc>
          <w:tcPr>
            <w:tcW w:w="1567" w:type="dxa"/>
            <w:vAlign w:val="center"/>
          </w:tcPr>
          <w:p>
            <w:pPr>
              <w:adjustRightInd w:val="0"/>
              <w:snapToGrid w:val="0"/>
              <w:jc w:val="both"/>
              <w:rPr>
                <w:rFonts w:hint="eastAsia" w:ascii="仿宋_GB2312" w:hAnsi="仿宋_GB2312" w:eastAsia="仿宋_GB2312" w:cs="仿宋_GB2312"/>
                <w:color w:val="auto"/>
                <w:szCs w:val="21"/>
              </w:rPr>
            </w:pPr>
            <w:r>
              <w:rPr>
                <w:rFonts w:hint="eastAsia" w:ascii="仿宋_GB2312" w:hAnsi="Adobe 仿宋 Std R" w:eastAsia="仿宋_GB2312"/>
                <w:color w:val="auto"/>
                <w:sz w:val="21"/>
                <w:szCs w:val="21"/>
              </w:rPr>
              <w:t>给予警告、停业整顿一个月以上六个月以下的处罚，可以处十万元以下的罚款；有违法所得的，没收违法所得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0" w:hRule="atLeast"/>
        </w:trPr>
        <w:tc>
          <w:tcPr>
            <w:tcW w:w="704" w:type="dxa"/>
            <w:vAlign w:val="center"/>
          </w:tcPr>
          <w:p>
            <w:pPr>
              <w:spacing w:line="270" w:lineRule="exact"/>
              <w:jc w:val="center"/>
              <w:rPr>
                <w:rFonts w:hint="eastAsia" w:ascii="仿宋_GB2312" w:eastAsia="仿宋_GB2312" w:cs="仿宋_GB2312"/>
                <w:color w:val="auto"/>
                <w:kern w:val="0"/>
                <w:szCs w:val="21"/>
              </w:rPr>
            </w:pPr>
            <w:r>
              <w:rPr>
                <w:rFonts w:hint="eastAsia" w:ascii="仿宋_GB2312" w:hAnsi="仿宋_GB2312" w:eastAsia="仿宋_GB2312" w:cs="仿宋_GB2312"/>
                <w:color w:val="auto"/>
                <w:szCs w:val="21"/>
                <w:lang w:val="en-US" w:eastAsia="zh-CN"/>
              </w:rPr>
              <w:t>32</w:t>
            </w:r>
          </w:p>
        </w:tc>
        <w:tc>
          <w:tcPr>
            <w:tcW w:w="1619" w:type="dxa"/>
            <w:vAlign w:val="center"/>
          </w:tcPr>
          <w:p>
            <w:pPr>
              <w:spacing w:line="270" w:lineRule="exact"/>
              <w:rPr>
                <w:rFonts w:hint="eastAsia" w:ascii="仿宋_GB2312" w:eastAsia="仿宋_GB2312" w:cs="仿宋_GB2312"/>
                <w:color w:val="auto"/>
                <w:kern w:val="0"/>
                <w:szCs w:val="21"/>
              </w:rPr>
            </w:pPr>
            <w:r>
              <w:rPr>
                <w:rFonts w:hint="eastAsia" w:ascii="仿宋_GB2312" w:hAnsi="仿宋_GB2312" w:eastAsia="仿宋_GB2312" w:cs="仿宋_GB2312"/>
                <w:color w:val="auto"/>
                <w:szCs w:val="21"/>
              </w:rPr>
              <w:t>受到警告处罚后一年内又发生应当给予警告处罚的处罚</w:t>
            </w:r>
          </w:p>
        </w:tc>
        <w:tc>
          <w:tcPr>
            <w:tcW w:w="791" w:type="dxa"/>
            <w:vAlign w:val="center"/>
          </w:tcPr>
          <w:p>
            <w:pPr>
              <w:spacing w:line="270" w:lineRule="exact"/>
              <w:rPr>
                <w:rFonts w:hint="eastAsia" w:ascii="仿宋_GB2312" w:eastAsia="仿宋_GB2312" w:cs="仿宋_GB2312"/>
                <w:color w:val="auto"/>
                <w:kern w:val="0"/>
                <w:szCs w:val="21"/>
              </w:rPr>
            </w:pPr>
            <w:r>
              <w:rPr>
                <w:rFonts w:hint="eastAsia" w:ascii="仿宋_GB2312" w:hAnsi="仿宋_GB2312" w:eastAsia="仿宋_GB2312" w:cs="仿宋_GB2312"/>
                <w:color w:val="auto"/>
                <w:szCs w:val="21"/>
              </w:rPr>
              <w:t>0209</w:t>
            </w:r>
            <w:r>
              <w:rPr>
                <w:rFonts w:ascii="仿宋_GB2312" w:hAnsi="仿宋_GB2312" w:eastAsia="仿宋_GB2312" w:cs="仿宋_GB2312"/>
                <w:color w:val="auto"/>
                <w:szCs w:val="21"/>
              </w:rPr>
              <w:t>03</w:t>
            </w:r>
            <w:r>
              <w:rPr>
                <w:rFonts w:hint="eastAsia" w:ascii="仿宋_GB2312" w:hAnsi="仿宋_GB2312" w:eastAsia="仿宋_GB2312" w:cs="仿宋_GB2312"/>
                <w:color w:val="auto"/>
                <w:szCs w:val="21"/>
                <w:lang w:val="en-US" w:eastAsia="zh-CN"/>
              </w:rPr>
              <w:t>2</w:t>
            </w:r>
            <w:r>
              <w:rPr>
                <w:rFonts w:ascii="仿宋_GB2312" w:hAnsi="仿宋_GB2312" w:eastAsia="仿宋_GB2312" w:cs="仿宋_GB2312"/>
                <w:color w:val="auto"/>
                <w:szCs w:val="21"/>
              </w:rPr>
              <w:t>000</w:t>
            </w:r>
          </w:p>
        </w:tc>
        <w:tc>
          <w:tcPr>
            <w:tcW w:w="717" w:type="dxa"/>
            <w:vAlign w:val="center"/>
          </w:tcPr>
          <w:p>
            <w:pPr>
              <w:spacing w:line="270" w:lineRule="exact"/>
              <w:jc w:val="center"/>
              <w:rPr>
                <w:rFonts w:hint="eastAsia" w:ascii="仿宋_GB2312" w:eastAsia="仿宋_GB2312" w:cs="仿宋_GB2312"/>
                <w:color w:val="auto"/>
                <w:kern w:val="0"/>
                <w:szCs w:val="21"/>
              </w:rPr>
            </w:pPr>
            <w:r>
              <w:rPr>
                <w:rFonts w:hint="eastAsia" w:ascii="仿宋_GB2312" w:hAnsi="仿宋_GB2312" w:eastAsia="仿宋_GB2312" w:cs="仿宋_GB2312"/>
                <w:color w:val="auto"/>
                <w:szCs w:val="21"/>
                <w:lang w:eastAsia="zh-CN"/>
              </w:rPr>
              <w:t>司法行政部门</w:t>
            </w:r>
          </w:p>
        </w:tc>
        <w:tc>
          <w:tcPr>
            <w:tcW w:w="7554" w:type="dxa"/>
            <w:vAlign w:val="center"/>
          </w:tcPr>
          <w:p>
            <w:pPr>
              <w:spacing w:line="27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【法律】《中华人民共和国律师法》（201</w:t>
            </w:r>
            <w:r>
              <w:rPr>
                <w:rFonts w:hint="eastAsia" w:ascii="仿宋_GB2312" w:hAnsi="仿宋_GB2312" w:eastAsia="仿宋_GB2312" w:cs="仿宋_GB2312"/>
                <w:color w:val="auto"/>
                <w:szCs w:val="21"/>
                <w:lang w:val="en-US" w:eastAsia="zh-CN"/>
              </w:rPr>
              <w:t>7</w:t>
            </w:r>
            <w:r>
              <w:rPr>
                <w:rFonts w:hint="eastAsia" w:ascii="仿宋_GB2312" w:hAnsi="仿宋_GB2312" w:eastAsia="仿宋_GB2312" w:cs="仿宋_GB2312"/>
                <w:color w:val="auto"/>
                <w:szCs w:val="21"/>
              </w:rPr>
              <w:t>年修正）</w:t>
            </w:r>
          </w:p>
          <w:p>
            <w:pPr>
              <w:spacing w:line="270" w:lineRule="exact"/>
              <w:rPr>
                <w:rFonts w:hint="eastAsia" w:ascii="仿宋_GB2312" w:eastAsia="仿宋_GB2312" w:cs="仿宋_GB2312"/>
                <w:color w:val="auto"/>
                <w:kern w:val="0"/>
                <w:szCs w:val="21"/>
              </w:rPr>
            </w:pPr>
            <w:r>
              <w:rPr>
                <w:rFonts w:hint="eastAsia" w:ascii="仿宋_GB2312" w:hAnsi="仿宋_GB2312" w:eastAsia="仿宋_GB2312" w:cs="仿宋_GB2312"/>
                <w:color w:val="auto"/>
                <w:szCs w:val="21"/>
              </w:rPr>
              <w:t xml:space="preserve">  第五十一条第一款</w:t>
            </w:r>
            <w:r>
              <w:rPr>
                <w:rFonts w:hint="eastAsia" w:ascii="仿宋_GB2312" w:hAnsi="仿宋_GB2312" w:eastAsia="仿宋_GB2312" w:cs="仿宋_GB2312"/>
                <w:color w:val="auto"/>
                <w:szCs w:val="21"/>
                <w:lang w:val="en-US" w:eastAsia="zh-CN"/>
              </w:rPr>
              <w:t xml:space="preserve"> </w:t>
            </w:r>
            <w:r>
              <w:rPr>
                <w:rFonts w:hint="eastAsia" w:ascii="仿宋_GB2312" w:hAnsi="仿宋_GB2312" w:eastAsia="仿宋_GB2312" w:cs="仿宋_GB2312"/>
                <w:color w:val="auto"/>
                <w:szCs w:val="21"/>
              </w:rPr>
              <w:t>律师因违反本法规定，在受到警告处罚后一年内又发生应当给予警告处罚情形的，由设区的市级或者直辖市的区人民政府司法行政部门给予停止执业三个月以上一年以下的处罚；在受到停止执业处罚期满后二年内又发生应当给予停止执业处罚情形的，由省、自治区、直辖市人民政府司法行政部门吊销其律师执业证书。</w:t>
            </w:r>
          </w:p>
        </w:tc>
        <w:tc>
          <w:tcPr>
            <w:tcW w:w="910" w:type="dxa"/>
            <w:vAlign w:val="center"/>
          </w:tcPr>
          <w:p>
            <w:pPr>
              <w:spacing w:line="270" w:lineRule="exact"/>
              <w:jc w:val="center"/>
              <w:rPr>
                <w:rFonts w:hint="eastAsia"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设区</w:t>
            </w:r>
          </w:p>
          <w:p>
            <w:pPr>
              <w:spacing w:line="270" w:lineRule="exact"/>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szCs w:val="21"/>
                <w:lang w:eastAsia="zh-CN"/>
              </w:rPr>
              <w:t>的市</w:t>
            </w:r>
          </w:p>
        </w:tc>
        <w:tc>
          <w:tcPr>
            <w:tcW w:w="1567" w:type="dxa"/>
            <w:vAlign w:val="center"/>
          </w:tcPr>
          <w:p>
            <w:pPr>
              <w:widowControl/>
              <w:adjustRightInd w:val="0"/>
              <w:snapToGrid w:val="0"/>
              <w:jc w:val="both"/>
              <w:rPr>
                <w:rFonts w:hint="eastAsia" w:ascii="仿宋_GB2312" w:hAnsi="仿宋_GB2312" w:eastAsia="仿宋_GB2312" w:cs="仿宋_GB2312"/>
                <w:color w:val="auto"/>
                <w:szCs w:val="21"/>
              </w:rPr>
            </w:pPr>
            <w:r>
              <w:rPr>
                <w:rFonts w:hint="eastAsia" w:ascii="仿宋_GB2312" w:hAnsi="Adobe 仿宋 Std R" w:eastAsia="仿宋_GB2312"/>
                <w:color w:val="auto"/>
                <w:kern w:val="0"/>
                <w:sz w:val="21"/>
                <w:szCs w:val="21"/>
              </w:rPr>
              <w:t>给予停止执业三个月以上一年以下的处罚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5" w:hRule="atLeast"/>
        </w:trPr>
        <w:tc>
          <w:tcPr>
            <w:tcW w:w="704" w:type="dxa"/>
            <w:vAlign w:val="center"/>
          </w:tcPr>
          <w:p>
            <w:pPr>
              <w:spacing w:line="270" w:lineRule="exact"/>
              <w:jc w:val="center"/>
              <w:rPr>
                <w:rFonts w:hint="eastAsia" w:ascii="仿宋_GB2312" w:eastAsia="仿宋_GB2312" w:cs="仿宋_GB2312"/>
                <w:color w:val="auto"/>
                <w:kern w:val="0"/>
                <w:szCs w:val="21"/>
              </w:rPr>
            </w:pPr>
            <w:r>
              <w:rPr>
                <w:rFonts w:hint="eastAsia" w:ascii="仿宋_GB2312" w:hAnsi="仿宋_GB2312" w:eastAsia="仿宋_GB2312" w:cs="仿宋_GB2312"/>
                <w:color w:val="auto"/>
                <w:szCs w:val="21"/>
                <w:lang w:val="en-US" w:eastAsia="zh-CN"/>
              </w:rPr>
              <w:t>33</w:t>
            </w:r>
          </w:p>
        </w:tc>
        <w:tc>
          <w:tcPr>
            <w:tcW w:w="1619" w:type="dxa"/>
            <w:vAlign w:val="center"/>
          </w:tcPr>
          <w:p>
            <w:pPr>
              <w:spacing w:line="270" w:lineRule="exact"/>
              <w:rPr>
                <w:rFonts w:hint="eastAsia" w:ascii="仿宋_GB2312" w:eastAsia="仿宋_GB2312" w:cs="仿宋_GB2312"/>
                <w:color w:val="auto"/>
                <w:kern w:val="0"/>
                <w:szCs w:val="21"/>
              </w:rPr>
            </w:pPr>
            <w:r>
              <w:rPr>
                <w:rFonts w:hint="eastAsia" w:ascii="仿宋_GB2312" w:hAnsi="仿宋_GB2312" w:eastAsia="仿宋_GB2312" w:cs="仿宋_GB2312"/>
                <w:color w:val="auto"/>
                <w:szCs w:val="21"/>
              </w:rPr>
              <w:t>内地律师事务所未经核准，擅自聘用香港法律执业者、澳门执业律师担任法律顾问等的处罚</w:t>
            </w:r>
          </w:p>
        </w:tc>
        <w:tc>
          <w:tcPr>
            <w:tcW w:w="791" w:type="dxa"/>
            <w:vAlign w:val="center"/>
          </w:tcPr>
          <w:p>
            <w:pPr>
              <w:spacing w:line="270" w:lineRule="exact"/>
              <w:rPr>
                <w:rFonts w:hint="eastAsia" w:ascii="仿宋_GB2312" w:eastAsia="仿宋_GB2312" w:cs="仿宋_GB2312"/>
                <w:color w:val="auto"/>
                <w:kern w:val="0"/>
                <w:szCs w:val="21"/>
              </w:rPr>
            </w:pPr>
            <w:r>
              <w:rPr>
                <w:rFonts w:hint="eastAsia" w:ascii="仿宋_GB2312" w:hAnsi="仿宋_GB2312" w:eastAsia="仿宋_GB2312" w:cs="仿宋_GB2312"/>
                <w:color w:val="auto"/>
                <w:szCs w:val="21"/>
              </w:rPr>
              <w:t>0209</w:t>
            </w:r>
            <w:r>
              <w:rPr>
                <w:rFonts w:ascii="仿宋_GB2312" w:hAnsi="仿宋_GB2312" w:eastAsia="仿宋_GB2312" w:cs="仿宋_GB2312"/>
                <w:color w:val="auto"/>
                <w:szCs w:val="21"/>
              </w:rPr>
              <w:t>03</w:t>
            </w:r>
            <w:r>
              <w:rPr>
                <w:rFonts w:hint="eastAsia" w:ascii="仿宋_GB2312" w:hAnsi="仿宋_GB2312" w:eastAsia="仿宋_GB2312" w:cs="仿宋_GB2312"/>
                <w:color w:val="auto"/>
                <w:szCs w:val="21"/>
                <w:lang w:val="en-US" w:eastAsia="zh-CN"/>
              </w:rPr>
              <w:t>3</w:t>
            </w:r>
            <w:r>
              <w:rPr>
                <w:rFonts w:ascii="仿宋_GB2312" w:hAnsi="仿宋_GB2312" w:eastAsia="仿宋_GB2312" w:cs="仿宋_GB2312"/>
                <w:color w:val="auto"/>
                <w:szCs w:val="21"/>
              </w:rPr>
              <w:t>000</w:t>
            </w:r>
          </w:p>
        </w:tc>
        <w:tc>
          <w:tcPr>
            <w:tcW w:w="717" w:type="dxa"/>
            <w:vAlign w:val="center"/>
          </w:tcPr>
          <w:p>
            <w:pPr>
              <w:spacing w:line="270" w:lineRule="exact"/>
              <w:jc w:val="center"/>
              <w:rPr>
                <w:rFonts w:hint="eastAsia" w:ascii="仿宋_GB2312" w:eastAsia="仿宋_GB2312" w:cs="仿宋_GB2312"/>
                <w:color w:val="auto"/>
                <w:kern w:val="0"/>
                <w:szCs w:val="21"/>
              </w:rPr>
            </w:pPr>
            <w:r>
              <w:rPr>
                <w:rFonts w:hint="eastAsia" w:ascii="仿宋_GB2312" w:hAnsi="仿宋_GB2312" w:eastAsia="仿宋_GB2312" w:cs="仿宋_GB2312"/>
                <w:color w:val="auto"/>
                <w:szCs w:val="21"/>
                <w:lang w:eastAsia="zh-CN"/>
              </w:rPr>
              <w:t>司法行政部门</w:t>
            </w:r>
          </w:p>
        </w:tc>
        <w:tc>
          <w:tcPr>
            <w:tcW w:w="7554" w:type="dxa"/>
            <w:vAlign w:val="center"/>
          </w:tcPr>
          <w:p>
            <w:pPr>
              <w:spacing w:line="27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【部门规章】《香港法律执业者和澳门执业律师受聘于内地律师事务所担任法律顾问管理办法》（2003年司法部令第82号）</w:t>
            </w:r>
          </w:p>
          <w:p>
            <w:pPr>
              <w:spacing w:line="270" w:lineRule="exact"/>
              <w:rPr>
                <w:rFonts w:hint="eastAsia" w:ascii="仿宋_GB2312" w:eastAsia="仿宋_GB2312" w:cs="仿宋_GB2312"/>
                <w:color w:val="auto"/>
                <w:kern w:val="0"/>
                <w:szCs w:val="21"/>
              </w:rPr>
            </w:pPr>
            <w:r>
              <w:rPr>
                <w:rFonts w:hint="eastAsia" w:ascii="仿宋_GB2312" w:hAnsi="仿宋_GB2312" w:eastAsia="仿宋_GB2312" w:cs="仿宋_GB2312"/>
                <w:color w:val="auto"/>
                <w:szCs w:val="21"/>
              </w:rPr>
              <w:t xml:space="preserve">    第十七条</w:t>
            </w:r>
            <w:r>
              <w:rPr>
                <w:rFonts w:hint="eastAsia" w:ascii="仿宋_GB2312" w:hAnsi="仿宋_GB2312" w:eastAsia="仿宋_GB2312" w:cs="仿宋_GB2312"/>
                <w:color w:val="auto"/>
                <w:szCs w:val="21"/>
                <w:lang w:val="en-US" w:eastAsia="zh-CN"/>
              </w:rPr>
              <w:t xml:space="preserve"> </w:t>
            </w:r>
            <w:r>
              <w:rPr>
                <w:rFonts w:hint="eastAsia" w:ascii="仿宋_GB2312" w:hAnsi="仿宋_GB2312" w:eastAsia="仿宋_GB2312" w:cs="仿宋_GB2312"/>
                <w:color w:val="auto"/>
                <w:szCs w:val="21"/>
              </w:rPr>
              <w:t>内地律师事务所有下列行为之一的，由地(市)级司法行政机关给予警告，责令限期改正；逾期不改正的，处1万元以下罚款；有违法所得的，处违法所得1倍以上3倍以下罚款，但罚款最高不得超过3万元：(一)未经核准，擅自聘用香港法律执业者、澳门执业律师担任法律顾问的；(二)对香港、澳门法律顾问的法律服务活动不实行统一接受委托、统一收取费用的;(三)对香港、澳门法律顾问的违法行为负有管理失查责任的；(四)其他违反法律、法规和规章应当给予处罚的行为。</w:t>
            </w:r>
          </w:p>
        </w:tc>
        <w:tc>
          <w:tcPr>
            <w:tcW w:w="910" w:type="dxa"/>
            <w:vAlign w:val="center"/>
          </w:tcPr>
          <w:p>
            <w:pPr>
              <w:spacing w:line="270" w:lineRule="exact"/>
              <w:jc w:val="center"/>
              <w:rPr>
                <w:rFonts w:hint="eastAsia"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设区</w:t>
            </w:r>
          </w:p>
          <w:p>
            <w:pPr>
              <w:spacing w:line="270" w:lineRule="exact"/>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szCs w:val="21"/>
                <w:lang w:eastAsia="zh-CN"/>
              </w:rPr>
              <w:t>的市</w:t>
            </w:r>
          </w:p>
        </w:tc>
        <w:tc>
          <w:tcPr>
            <w:tcW w:w="1567" w:type="dxa"/>
            <w:vAlign w:val="center"/>
          </w:tcPr>
          <w:p>
            <w:pPr>
              <w:widowControl/>
              <w:adjustRightInd w:val="0"/>
              <w:snapToGrid w:val="0"/>
              <w:jc w:val="both"/>
              <w:rPr>
                <w:rFonts w:hint="eastAsia" w:ascii="仿宋_GB2312" w:hAnsi="仿宋_GB2312" w:eastAsia="仿宋_GB2312" w:cs="仿宋_GB2312"/>
                <w:color w:val="auto"/>
                <w:szCs w:val="21"/>
              </w:rPr>
            </w:pPr>
            <w:r>
              <w:rPr>
                <w:rFonts w:hint="eastAsia" w:ascii="仿宋_GB2312" w:hAnsi="Adobe 仿宋 Std R" w:eastAsia="仿宋_GB2312"/>
                <w:color w:val="auto"/>
                <w:kern w:val="0"/>
                <w:sz w:val="21"/>
                <w:szCs w:val="21"/>
              </w:rPr>
              <w:t>给予警告，责令限期改正；逾期不改正的，处1万元以下罚款；有违法所得的，处违法所得1倍以上3倍以下罚款，但罚款最高不得超过3万元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5" w:hRule="atLeast"/>
        </w:trPr>
        <w:tc>
          <w:tcPr>
            <w:tcW w:w="704" w:type="dxa"/>
            <w:vAlign w:val="center"/>
          </w:tcPr>
          <w:p>
            <w:pPr>
              <w:spacing w:line="270" w:lineRule="exact"/>
              <w:jc w:val="center"/>
              <w:rPr>
                <w:rFonts w:hint="eastAsia" w:ascii="仿宋_GB2312" w:eastAsia="仿宋_GB2312" w:cs="仿宋_GB2312"/>
                <w:color w:val="auto"/>
                <w:kern w:val="0"/>
                <w:szCs w:val="21"/>
              </w:rPr>
            </w:pPr>
            <w:r>
              <w:rPr>
                <w:rFonts w:hint="eastAsia" w:ascii="仿宋_GB2312" w:hAnsi="仿宋_GB2312" w:eastAsia="仿宋_GB2312" w:cs="仿宋_GB2312"/>
                <w:color w:val="auto"/>
                <w:szCs w:val="21"/>
                <w:lang w:val="en-US" w:eastAsia="zh-CN"/>
              </w:rPr>
              <w:t>34</w:t>
            </w:r>
          </w:p>
        </w:tc>
        <w:tc>
          <w:tcPr>
            <w:tcW w:w="1619" w:type="dxa"/>
            <w:vAlign w:val="center"/>
          </w:tcPr>
          <w:p>
            <w:pPr>
              <w:spacing w:line="270" w:lineRule="exact"/>
              <w:rPr>
                <w:rFonts w:hint="eastAsia" w:ascii="仿宋_GB2312" w:eastAsia="仿宋_GB2312" w:cs="仿宋_GB2312"/>
                <w:color w:val="auto"/>
                <w:kern w:val="0"/>
                <w:szCs w:val="21"/>
              </w:rPr>
            </w:pPr>
            <w:r>
              <w:rPr>
                <w:rFonts w:hint="eastAsia" w:ascii="仿宋_GB2312" w:hAnsi="仿宋_GB2312" w:eastAsia="仿宋_GB2312" w:cs="仿宋_GB2312"/>
                <w:color w:val="auto"/>
                <w:szCs w:val="21"/>
              </w:rPr>
              <w:t>香港、澳门法律顾问同时在内地两个以上律师事务所受聘执业等行为的处罚</w:t>
            </w:r>
          </w:p>
        </w:tc>
        <w:tc>
          <w:tcPr>
            <w:tcW w:w="791" w:type="dxa"/>
            <w:vAlign w:val="center"/>
          </w:tcPr>
          <w:p>
            <w:pPr>
              <w:spacing w:line="270" w:lineRule="exact"/>
              <w:rPr>
                <w:rFonts w:hint="eastAsia" w:ascii="仿宋_GB2312" w:eastAsia="仿宋_GB2312" w:cs="仿宋_GB2312"/>
                <w:color w:val="auto"/>
                <w:kern w:val="0"/>
                <w:szCs w:val="21"/>
              </w:rPr>
            </w:pPr>
            <w:r>
              <w:rPr>
                <w:rFonts w:hint="eastAsia" w:ascii="仿宋_GB2312" w:hAnsi="仿宋_GB2312" w:eastAsia="仿宋_GB2312" w:cs="仿宋_GB2312"/>
                <w:color w:val="auto"/>
                <w:szCs w:val="21"/>
              </w:rPr>
              <w:t>0209</w:t>
            </w:r>
            <w:r>
              <w:rPr>
                <w:rFonts w:ascii="仿宋_GB2312" w:hAnsi="仿宋_GB2312" w:eastAsia="仿宋_GB2312" w:cs="仿宋_GB2312"/>
                <w:color w:val="auto"/>
                <w:szCs w:val="21"/>
              </w:rPr>
              <w:t>03</w:t>
            </w:r>
            <w:r>
              <w:rPr>
                <w:rFonts w:hint="eastAsia" w:ascii="仿宋_GB2312" w:hAnsi="仿宋_GB2312" w:eastAsia="仿宋_GB2312" w:cs="仿宋_GB2312"/>
                <w:color w:val="auto"/>
                <w:szCs w:val="21"/>
                <w:lang w:val="en-US" w:eastAsia="zh-CN"/>
              </w:rPr>
              <w:t>4</w:t>
            </w:r>
            <w:r>
              <w:rPr>
                <w:rFonts w:ascii="仿宋_GB2312" w:hAnsi="仿宋_GB2312" w:eastAsia="仿宋_GB2312" w:cs="仿宋_GB2312"/>
                <w:color w:val="auto"/>
                <w:szCs w:val="21"/>
              </w:rPr>
              <w:t>000</w:t>
            </w:r>
          </w:p>
        </w:tc>
        <w:tc>
          <w:tcPr>
            <w:tcW w:w="717" w:type="dxa"/>
            <w:vAlign w:val="center"/>
          </w:tcPr>
          <w:p>
            <w:pPr>
              <w:spacing w:line="270" w:lineRule="exact"/>
              <w:jc w:val="center"/>
              <w:rPr>
                <w:rFonts w:hint="eastAsia" w:ascii="仿宋_GB2312" w:eastAsia="仿宋_GB2312" w:cs="仿宋_GB2312"/>
                <w:color w:val="auto"/>
                <w:kern w:val="0"/>
                <w:szCs w:val="21"/>
              </w:rPr>
            </w:pPr>
            <w:r>
              <w:rPr>
                <w:rFonts w:hint="eastAsia" w:ascii="仿宋_GB2312" w:hAnsi="仿宋_GB2312" w:eastAsia="仿宋_GB2312" w:cs="仿宋_GB2312"/>
                <w:color w:val="auto"/>
                <w:szCs w:val="21"/>
                <w:lang w:eastAsia="zh-CN"/>
              </w:rPr>
              <w:t>司法行政部门</w:t>
            </w:r>
          </w:p>
        </w:tc>
        <w:tc>
          <w:tcPr>
            <w:tcW w:w="7554" w:type="dxa"/>
            <w:vAlign w:val="center"/>
          </w:tcPr>
          <w:p>
            <w:pPr>
              <w:spacing w:line="27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【部门规章】《香港法律执业者和澳门执业律师受聘于内地律师事务所担任法律顾问管理办法》（2003年司法部令第82号）</w:t>
            </w:r>
          </w:p>
          <w:p>
            <w:pPr>
              <w:spacing w:line="270" w:lineRule="exact"/>
              <w:rPr>
                <w:rFonts w:hint="eastAsia" w:ascii="仿宋_GB2312" w:eastAsia="仿宋_GB2312" w:cs="仿宋_GB2312"/>
                <w:color w:val="auto"/>
                <w:kern w:val="0"/>
                <w:szCs w:val="21"/>
              </w:rPr>
            </w:pPr>
            <w:r>
              <w:rPr>
                <w:rFonts w:hint="eastAsia" w:ascii="仿宋_GB2312" w:hAnsi="仿宋_GB2312" w:eastAsia="仿宋_GB2312" w:cs="仿宋_GB2312"/>
                <w:color w:val="auto"/>
                <w:szCs w:val="21"/>
              </w:rPr>
              <w:t xml:space="preserve">  第十六条</w:t>
            </w:r>
            <w:r>
              <w:rPr>
                <w:rFonts w:hint="eastAsia" w:ascii="仿宋_GB2312" w:hAnsi="仿宋_GB2312" w:eastAsia="仿宋_GB2312" w:cs="仿宋_GB2312"/>
                <w:color w:val="auto"/>
                <w:szCs w:val="21"/>
                <w:lang w:val="en-US" w:eastAsia="zh-CN"/>
              </w:rPr>
              <w:t xml:space="preserve"> </w:t>
            </w:r>
            <w:r>
              <w:rPr>
                <w:rFonts w:hint="eastAsia" w:ascii="仿宋_GB2312" w:hAnsi="仿宋_GB2312" w:eastAsia="仿宋_GB2312" w:cs="仿宋_GB2312"/>
                <w:color w:val="auto"/>
                <w:szCs w:val="21"/>
              </w:rPr>
              <w:t>香港、澳门法律顾问有下列行为之一的，由地(市)级司法行政机关给予警告，责令限期改正；逾期不改正的，处1万元以下罚款；有违法所得的，处违法所得1倍以上3倍以下罚款，但罚款最高不得超过3万元:(一)同时在内地两个以上律师事务所受聘的； (二)同时在香港、澳门律师事务所驻内地代表机构担任代表的； (三)同时在外国律师事务所受聘的；(四)私自受理业务或者私自向当事人收取费用的；(五)办理内地法律事务的；(六)其他违反法律、法规和规章应当给予处罚的行为。</w:t>
            </w:r>
            <w:r>
              <w:rPr>
                <w:rFonts w:hint="eastAsia" w:ascii="仿宋_GB2312" w:hAnsi="仿宋_GB2312" w:eastAsia="仿宋_GB2312" w:cs="仿宋_GB2312"/>
                <w:color w:val="auto"/>
                <w:szCs w:val="21"/>
              </w:rPr>
              <w:br w:type="textWrapping"/>
            </w:r>
            <w:r>
              <w:rPr>
                <w:rFonts w:hint="eastAsia" w:ascii="仿宋_GB2312" w:hAnsi="仿宋_GB2312" w:eastAsia="仿宋_GB2312" w:cs="仿宋_GB2312"/>
                <w:color w:val="auto"/>
                <w:szCs w:val="21"/>
              </w:rPr>
              <w:t>　　香港、澳门法律顾问违反前款规定情节严重的，内地律师事务所应当与其解除聘用关系。</w:t>
            </w:r>
          </w:p>
        </w:tc>
        <w:tc>
          <w:tcPr>
            <w:tcW w:w="910" w:type="dxa"/>
            <w:vAlign w:val="center"/>
          </w:tcPr>
          <w:p>
            <w:pPr>
              <w:spacing w:line="270" w:lineRule="exact"/>
              <w:jc w:val="center"/>
              <w:rPr>
                <w:rFonts w:hint="eastAsia"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设区</w:t>
            </w:r>
          </w:p>
          <w:p>
            <w:pPr>
              <w:spacing w:line="270" w:lineRule="exact"/>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szCs w:val="21"/>
                <w:lang w:eastAsia="zh-CN"/>
              </w:rPr>
              <w:t>的市</w:t>
            </w:r>
          </w:p>
        </w:tc>
        <w:tc>
          <w:tcPr>
            <w:tcW w:w="1567" w:type="dxa"/>
            <w:vAlign w:val="center"/>
          </w:tcPr>
          <w:p>
            <w:pPr>
              <w:widowControl/>
              <w:adjustRightInd w:val="0"/>
              <w:snapToGrid w:val="0"/>
              <w:jc w:val="both"/>
              <w:rPr>
                <w:rFonts w:hint="eastAsia" w:ascii="仿宋_GB2312" w:hAnsi="仿宋_GB2312" w:eastAsia="仿宋_GB2312" w:cs="仿宋_GB2312"/>
                <w:color w:val="auto"/>
                <w:szCs w:val="21"/>
              </w:rPr>
            </w:pPr>
            <w:r>
              <w:rPr>
                <w:rFonts w:hint="eastAsia" w:ascii="仿宋_GB2312" w:eastAsia="仿宋_GB2312"/>
                <w:color w:val="auto"/>
                <w:sz w:val="21"/>
                <w:szCs w:val="21"/>
              </w:rPr>
              <w:t>给予警告，责令限期改正；逾期不改正的，处1万元以下罚款；有违法所得的，处违法所得1倍以上3倍以下罚款，但罚款最高不得超过3万元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0" w:hRule="atLeast"/>
        </w:trPr>
        <w:tc>
          <w:tcPr>
            <w:tcW w:w="704" w:type="dxa"/>
            <w:vAlign w:val="center"/>
          </w:tcPr>
          <w:p>
            <w:pPr>
              <w:spacing w:line="270" w:lineRule="exact"/>
              <w:jc w:val="center"/>
              <w:rPr>
                <w:rFonts w:hint="eastAsia" w:ascii="仿宋_GB2312" w:eastAsia="仿宋_GB2312" w:cs="仿宋_GB2312"/>
                <w:color w:val="auto"/>
                <w:kern w:val="0"/>
                <w:szCs w:val="21"/>
              </w:rPr>
            </w:pPr>
            <w:r>
              <w:rPr>
                <w:rFonts w:hint="eastAsia" w:ascii="仿宋_GB2312" w:hAnsi="仿宋_GB2312" w:eastAsia="仿宋_GB2312" w:cs="仿宋_GB2312"/>
                <w:color w:val="auto"/>
                <w:szCs w:val="21"/>
                <w:lang w:val="en-US" w:eastAsia="zh-CN"/>
              </w:rPr>
              <w:t>35</w:t>
            </w:r>
          </w:p>
        </w:tc>
        <w:tc>
          <w:tcPr>
            <w:tcW w:w="1619" w:type="dxa"/>
            <w:vAlign w:val="center"/>
          </w:tcPr>
          <w:p>
            <w:pPr>
              <w:spacing w:line="270" w:lineRule="exact"/>
              <w:ind w:firstLine="210" w:firstLineChars="100"/>
              <w:rPr>
                <w:rFonts w:hint="eastAsia" w:ascii="仿宋_GB2312" w:eastAsia="仿宋_GB2312" w:cs="仿宋_GB2312"/>
                <w:color w:val="auto"/>
                <w:kern w:val="0"/>
                <w:szCs w:val="21"/>
              </w:rPr>
            </w:pPr>
            <w:r>
              <w:rPr>
                <w:rFonts w:hint="eastAsia" w:ascii="仿宋_GB2312" w:hAnsi="仿宋_GB2312" w:eastAsia="仿宋_GB2312" w:cs="仿宋_GB2312"/>
                <w:color w:val="auto"/>
                <w:szCs w:val="21"/>
              </w:rPr>
              <w:t>律师事务所拒绝法律援助机构的指派，不安排本所律师办理法律援助案件的处罚</w:t>
            </w:r>
          </w:p>
        </w:tc>
        <w:tc>
          <w:tcPr>
            <w:tcW w:w="791" w:type="dxa"/>
            <w:vAlign w:val="center"/>
          </w:tcPr>
          <w:p>
            <w:pPr>
              <w:spacing w:line="270" w:lineRule="exact"/>
              <w:rPr>
                <w:rFonts w:hint="eastAsia" w:ascii="仿宋_GB2312" w:eastAsia="仿宋_GB2312" w:cs="仿宋_GB2312"/>
                <w:color w:val="auto"/>
                <w:kern w:val="0"/>
                <w:szCs w:val="21"/>
              </w:rPr>
            </w:pPr>
            <w:r>
              <w:rPr>
                <w:rFonts w:hint="eastAsia" w:ascii="仿宋_GB2312" w:hAnsi="仿宋_GB2312" w:eastAsia="仿宋_GB2312" w:cs="仿宋_GB2312"/>
                <w:color w:val="auto"/>
                <w:szCs w:val="21"/>
              </w:rPr>
              <w:t>0209</w:t>
            </w:r>
            <w:r>
              <w:rPr>
                <w:rFonts w:ascii="仿宋_GB2312" w:hAnsi="仿宋_GB2312" w:eastAsia="仿宋_GB2312" w:cs="仿宋_GB2312"/>
                <w:color w:val="auto"/>
                <w:szCs w:val="21"/>
              </w:rPr>
              <w:t>03</w:t>
            </w:r>
            <w:r>
              <w:rPr>
                <w:rFonts w:hint="eastAsia" w:ascii="仿宋_GB2312" w:hAnsi="仿宋_GB2312" w:eastAsia="仿宋_GB2312" w:cs="仿宋_GB2312"/>
                <w:color w:val="auto"/>
                <w:szCs w:val="21"/>
                <w:lang w:val="en-US" w:eastAsia="zh-CN"/>
              </w:rPr>
              <w:t>5</w:t>
            </w:r>
            <w:r>
              <w:rPr>
                <w:rFonts w:ascii="仿宋_GB2312" w:hAnsi="仿宋_GB2312" w:eastAsia="仿宋_GB2312" w:cs="仿宋_GB2312"/>
                <w:color w:val="auto"/>
                <w:szCs w:val="21"/>
              </w:rPr>
              <w:t>000</w:t>
            </w:r>
          </w:p>
        </w:tc>
        <w:tc>
          <w:tcPr>
            <w:tcW w:w="717" w:type="dxa"/>
            <w:vAlign w:val="center"/>
          </w:tcPr>
          <w:p>
            <w:pPr>
              <w:spacing w:line="270" w:lineRule="exact"/>
              <w:jc w:val="center"/>
              <w:rPr>
                <w:rFonts w:hint="eastAsia" w:ascii="仿宋_GB2312" w:eastAsia="仿宋_GB2312" w:cs="仿宋_GB2312"/>
                <w:color w:val="auto"/>
                <w:kern w:val="0"/>
                <w:szCs w:val="21"/>
              </w:rPr>
            </w:pPr>
            <w:r>
              <w:rPr>
                <w:rFonts w:hint="eastAsia" w:ascii="仿宋_GB2312" w:hAnsi="仿宋_GB2312" w:eastAsia="仿宋_GB2312" w:cs="仿宋_GB2312"/>
                <w:color w:val="auto"/>
                <w:szCs w:val="21"/>
                <w:lang w:eastAsia="zh-CN"/>
              </w:rPr>
              <w:t>司法行政部门</w:t>
            </w:r>
          </w:p>
        </w:tc>
        <w:tc>
          <w:tcPr>
            <w:tcW w:w="7554" w:type="dxa"/>
            <w:vAlign w:val="center"/>
          </w:tcPr>
          <w:p>
            <w:pPr>
              <w:spacing w:line="27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【法律】《中华人民共和国律师法》（201</w:t>
            </w:r>
            <w:r>
              <w:rPr>
                <w:rFonts w:hint="eastAsia" w:ascii="仿宋_GB2312" w:hAnsi="仿宋_GB2312" w:eastAsia="仿宋_GB2312" w:cs="仿宋_GB2312"/>
                <w:color w:val="auto"/>
                <w:szCs w:val="21"/>
                <w:lang w:val="en-US" w:eastAsia="zh-CN"/>
              </w:rPr>
              <w:t>7</w:t>
            </w:r>
            <w:r>
              <w:rPr>
                <w:rFonts w:hint="eastAsia" w:ascii="仿宋_GB2312" w:hAnsi="仿宋_GB2312" w:eastAsia="仿宋_GB2312" w:cs="仿宋_GB2312"/>
                <w:color w:val="auto"/>
                <w:szCs w:val="21"/>
              </w:rPr>
              <w:t>年修正）</w:t>
            </w:r>
          </w:p>
          <w:p>
            <w:pPr>
              <w:spacing w:line="27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 xml:space="preserve">  第五十条 律师事务所有下列行为之一的，由设区的市级或者直辖市的区人民政府司法行政部门视其情节；情节特别严重的，由省、自治区、直辖市人民政府司法行政部门吊销律师事务所执业证书：</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rPr>
              <w:t>（六）拒绝履行法律援助义务的</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rPr>
              <w:t>。</w:t>
            </w:r>
          </w:p>
          <w:p>
            <w:pPr>
              <w:spacing w:line="27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【行政法规】《法律援助条例》（2003年国务院令第385号）</w:t>
            </w:r>
          </w:p>
          <w:p>
            <w:pPr>
              <w:spacing w:line="27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第二十七条</w:t>
            </w:r>
            <w:r>
              <w:rPr>
                <w:rFonts w:hint="eastAsia" w:ascii="仿宋_GB2312" w:hAnsi="仿宋_GB2312" w:eastAsia="仿宋_GB2312" w:cs="仿宋_GB2312"/>
                <w:color w:val="auto"/>
                <w:szCs w:val="21"/>
                <w:lang w:val="en-US" w:eastAsia="zh-CN"/>
              </w:rPr>
              <w:t xml:space="preserve"> </w:t>
            </w:r>
            <w:r>
              <w:rPr>
                <w:rFonts w:hint="eastAsia" w:ascii="仿宋_GB2312" w:hAnsi="仿宋_GB2312" w:eastAsia="仿宋_GB2312" w:cs="仿宋_GB2312"/>
                <w:color w:val="auto"/>
                <w:szCs w:val="21"/>
              </w:rPr>
              <w:t>律师事务所拒绝法律援助机构的指派，不安排本所律师办理法律援助案件的，由司法行政部门给予警告、责令改正；情节严重的，给予１个月以上３个月以下停业整顿的处罚。</w:t>
            </w:r>
          </w:p>
          <w:p>
            <w:pPr>
              <w:spacing w:line="27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【地方性法规】《宁夏回族自治区法律援助条例》（2006年）</w:t>
            </w:r>
          </w:p>
          <w:p>
            <w:pPr>
              <w:spacing w:line="270" w:lineRule="exact"/>
              <w:ind w:firstLine="210" w:firstLineChars="100"/>
              <w:rPr>
                <w:rFonts w:hint="eastAsia" w:ascii="仿宋_GB2312" w:eastAsia="仿宋_GB2312" w:cs="仿宋_GB2312"/>
                <w:color w:val="auto"/>
                <w:kern w:val="0"/>
                <w:szCs w:val="21"/>
              </w:rPr>
            </w:pPr>
            <w:r>
              <w:rPr>
                <w:rFonts w:hint="eastAsia" w:ascii="仿宋_GB2312" w:hAnsi="仿宋_GB2312" w:eastAsia="仿宋_GB2312" w:cs="仿宋_GB2312"/>
                <w:color w:val="auto"/>
                <w:szCs w:val="21"/>
              </w:rPr>
              <w:t>第三十二条</w:t>
            </w:r>
            <w:r>
              <w:rPr>
                <w:rFonts w:hint="eastAsia" w:ascii="仿宋_GB2312" w:hAnsi="仿宋_GB2312" w:eastAsia="仿宋_GB2312" w:cs="仿宋_GB2312"/>
                <w:color w:val="auto"/>
                <w:szCs w:val="21"/>
                <w:lang w:val="en-US" w:eastAsia="zh-CN"/>
              </w:rPr>
              <w:t xml:space="preserve"> </w:t>
            </w:r>
            <w:r>
              <w:rPr>
                <w:rFonts w:hint="eastAsia" w:ascii="仿宋_GB2312" w:hAnsi="仿宋_GB2312" w:eastAsia="仿宋_GB2312" w:cs="仿宋_GB2312"/>
                <w:color w:val="auto"/>
                <w:szCs w:val="21"/>
              </w:rPr>
              <w:t>律师事务所拒绝法律援助机构的指派，不安排本所律师办理法律援助案件的，由司法行政部门给予警告、责令改正；情节严重的，给予一个月以上三个月以下停业整顿的处罚</w:t>
            </w:r>
            <w:r>
              <w:rPr>
                <w:rFonts w:hint="eastAsia" w:ascii="仿宋_GB2312" w:hAnsi="仿宋_GB2312" w:eastAsia="仿宋_GB2312" w:cs="仿宋_GB2312"/>
                <w:color w:val="auto"/>
                <w:szCs w:val="21"/>
                <w:lang w:eastAsia="zh-CN"/>
              </w:rPr>
              <w:t>。</w:t>
            </w:r>
          </w:p>
        </w:tc>
        <w:tc>
          <w:tcPr>
            <w:tcW w:w="910" w:type="dxa"/>
            <w:vAlign w:val="center"/>
          </w:tcPr>
          <w:p>
            <w:pPr>
              <w:spacing w:line="270" w:lineRule="exact"/>
              <w:ind w:firstLine="210" w:firstLineChars="100"/>
              <w:rPr>
                <w:rFonts w:hint="eastAsia"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设区</w:t>
            </w:r>
          </w:p>
          <w:p>
            <w:pPr>
              <w:spacing w:line="270" w:lineRule="exact"/>
              <w:ind w:firstLine="210" w:firstLineChars="1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szCs w:val="21"/>
                <w:lang w:eastAsia="zh-CN"/>
              </w:rPr>
              <w:t>的市</w:t>
            </w:r>
          </w:p>
        </w:tc>
        <w:tc>
          <w:tcPr>
            <w:tcW w:w="1567" w:type="dxa"/>
            <w:vAlign w:val="center"/>
          </w:tcPr>
          <w:p>
            <w:pPr>
              <w:spacing w:line="27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给予警告、责令改正；情节严重的，给予１个月以上３个月以下停业整顿的处罚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0" w:hRule="atLeast"/>
        </w:trPr>
        <w:tc>
          <w:tcPr>
            <w:tcW w:w="704" w:type="dxa"/>
            <w:vAlign w:val="center"/>
          </w:tcPr>
          <w:p>
            <w:pPr>
              <w:spacing w:line="270" w:lineRule="exact"/>
              <w:jc w:val="center"/>
              <w:rPr>
                <w:rFonts w:hint="eastAsia" w:ascii="仿宋_GB2312" w:eastAsia="仿宋_GB2312" w:cs="仿宋_GB2312"/>
                <w:color w:val="auto"/>
                <w:kern w:val="0"/>
                <w:szCs w:val="21"/>
              </w:rPr>
            </w:pPr>
            <w:r>
              <w:rPr>
                <w:rFonts w:hint="eastAsia" w:ascii="仿宋_GB2312" w:hAnsi="仿宋_GB2312" w:eastAsia="仿宋_GB2312" w:cs="仿宋_GB2312"/>
                <w:color w:val="auto"/>
                <w:szCs w:val="21"/>
                <w:lang w:val="en-US" w:eastAsia="zh-CN"/>
              </w:rPr>
              <w:t>36</w:t>
            </w:r>
          </w:p>
        </w:tc>
        <w:tc>
          <w:tcPr>
            <w:tcW w:w="1619" w:type="dxa"/>
            <w:vAlign w:val="center"/>
          </w:tcPr>
          <w:p>
            <w:pPr>
              <w:spacing w:line="270" w:lineRule="exact"/>
              <w:ind w:firstLine="210" w:firstLineChars="100"/>
              <w:rPr>
                <w:rFonts w:hint="eastAsia" w:ascii="仿宋_GB2312" w:eastAsia="仿宋_GB2312" w:cs="仿宋_GB2312"/>
                <w:color w:val="auto"/>
                <w:kern w:val="0"/>
                <w:szCs w:val="21"/>
              </w:rPr>
            </w:pPr>
            <w:r>
              <w:rPr>
                <w:rFonts w:hint="eastAsia" w:ascii="仿宋_GB2312" w:hAnsi="仿宋_GB2312" w:eastAsia="仿宋_GB2312" w:cs="仿宋_GB2312"/>
                <w:color w:val="auto"/>
                <w:szCs w:val="21"/>
              </w:rPr>
              <w:t>律师无正当理由拒绝接受、擅自终止法律援助案件的、办理法律援助案件收取财物的处罚</w:t>
            </w:r>
          </w:p>
        </w:tc>
        <w:tc>
          <w:tcPr>
            <w:tcW w:w="791" w:type="dxa"/>
            <w:vAlign w:val="center"/>
          </w:tcPr>
          <w:p>
            <w:pPr>
              <w:spacing w:line="270" w:lineRule="exact"/>
              <w:rPr>
                <w:rFonts w:hint="eastAsia" w:ascii="仿宋_GB2312" w:eastAsia="仿宋_GB2312" w:cs="仿宋_GB2312"/>
                <w:color w:val="auto"/>
                <w:kern w:val="0"/>
                <w:szCs w:val="21"/>
              </w:rPr>
            </w:pPr>
            <w:r>
              <w:rPr>
                <w:rFonts w:hint="eastAsia" w:ascii="仿宋_GB2312" w:hAnsi="仿宋_GB2312" w:eastAsia="仿宋_GB2312" w:cs="仿宋_GB2312"/>
                <w:color w:val="auto"/>
                <w:szCs w:val="21"/>
              </w:rPr>
              <w:t>0209</w:t>
            </w:r>
            <w:r>
              <w:rPr>
                <w:rFonts w:ascii="仿宋_GB2312" w:hAnsi="仿宋_GB2312" w:eastAsia="仿宋_GB2312" w:cs="仿宋_GB2312"/>
                <w:color w:val="auto"/>
                <w:szCs w:val="21"/>
              </w:rPr>
              <w:t>03</w:t>
            </w:r>
            <w:r>
              <w:rPr>
                <w:rFonts w:hint="eastAsia" w:ascii="仿宋_GB2312" w:hAnsi="仿宋_GB2312" w:eastAsia="仿宋_GB2312" w:cs="仿宋_GB2312"/>
                <w:color w:val="auto"/>
                <w:szCs w:val="21"/>
                <w:lang w:val="en-US" w:eastAsia="zh-CN"/>
              </w:rPr>
              <w:t>6</w:t>
            </w:r>
            <w:r>
              <w:rPr>
                <w:rFonts w:ascii="仿宋_GB2312" w:hAnsi="仿宋_GB2312" w:eastAsia="仿宋_GB2312" w:cs="仿宋_GB2312"/>
                <w:color w:val="auto"/>
                <w:szCs w:val="21"/>
              </w:rPr>
              <w:t>000</w:t>
            </w:r>
          </w:p>
        </w:tc>
        <w:tc>
          <w:tcPr>
            <w:tcW w:w="717" w:type="dxa"/>
            <w:vAlign w:val="center"/>
          </w:tcPr>
          <w:p>
            <w:pPr>
              <w:spacing w:line="270" w:lineRule="exact"/>
              <w:jc w:val="center"/>
              <w:rPr>
                <w:rFonts w:hint="eastAsia" w:ascii="仿宋_GB2312" w:eastAsia="仿宋_GB2312" w:cs="仿宋_GB2312"/>
                <w:color w:val="auto"/>
                <w:kern w:val="0"/>
                <w:szCs w:val="21"/>
              </w:rPr>
            </w:pPr>
            <w:r>
              <w:rPr>
                <w:rFonts w:hint="eastAsia" w:ascii="仿宋_GB2312" w:hAnsi="仿宋_GB2312" w:eastAsia="仿宋_GB2312" w:cs="仿宋_GB2312"/>
                <w:color w:val="auto"/>
                <w:szCs w:val="21"/>
                <w:lang w:eastAsia="zh-CN"/>
              </w:rPr>
              <w:t>司法行政部门</w:t>
            </w:r>
          </w:p>
        </w:tc>
        <w:tc>
          <w:tcPr>
            <w:tcW w:w="7554" w:type="dxa"/>
            <w:vAlign w:val="center"/>
          </w:tcPr>
          <w:p>
            <w:pPr>
              <w:spacing w:line="27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【法律】《中华人民共和国律师法》（201</w:t>
            </w:r>
            <w:r>
              <w:rPr>
                <w:rFonts w:hint="eastAsia" w:ascii="仿宋_GB2312" w:hAnsi="仿宋_GB2312" w:eastAsia="仿宋_GB2312" w:cs="仿宋_GB2312"/>
                <w:color w:val="auto"/>
                <w:szCs w:val="21"/>
                <w:lang w:val="en-US" w:eastAsia="zh-CN"/>
              </w:rPr>
              <w:t>7</w:t>
            </w:r>
            <w:r>
              <w:rPr>
                <w:rFonts w:hint="eastAsia" w:ascii="仿宋_GB2312" w:hAnsi="仿宋_GB2312" w:eastAsia="仿宋_GB2312" w:cs="仿宋_GB2312"/>
                <w:color w:val="auto"/>
                <w:szCs w:val="21"/>
              </w:rPr>
              <w:t>年修正）</w:t>
            </w:r>
          </w:p>
          <w:p>
            <w:pPr>
              <w:spacing w:line="27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 xml:space="preserve">  第四十七条</w:t>
            </w:r>
            <w:r>
              <w:rPr>
                <w:rFonts w:hint="eastAsia" w:ascii="仿宋_GB2312" w:hAnsi="仿宋_GB2312" w:eastAsia="仿宋_GB2312" w:cs="仿宋_GB2312"/>
                <w:color w:val="auto"/>
                <w:szCs w:val="21"/>
                <w:lang w:val="en-US" w:eastAsia="zh-CN"/>
              </w:rPr>
              <w:t xml:space="preserve"> </w:t>
            </w:r>
            <w:r>
              <w:rPr>
                <w:rFonts w:hint="eastAsia" w:ascii="仿宋_GB2312" w:hAnsi="仿宋_GB2312" w:eastAsia="仿宋_GB2312" w:cs="仿宋_GB2312"/>
                <w:color w:val="auto"/>
                <w:szCs w:val="21"/>
              </w:rPr>
              <w:t>律师有下列行为之一的，由设区的市级或者直辖市的区人民政府司法行政部门给予警告，可以处五千元以下的罚款；有违法所得的，没收违法所得；情节严重的，给予停止执业三个月以下的处罚：</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rPr>
              <w:t>（五）拒绝履行法律援助义务的。</w:t>
            </w:r>
          </w:p>
          <w:p>
            <w:pPr>
              <w:spacing w:line="27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【行政法规】《法律援助条例》（2003年国务院令第385号）</w:t>
            </w:r>
          </w:p>
          <w:p>
            <w:pPr>
              <w:spacing w:line="27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第二十八条</w:t>
            </w:r>
            <w:r>
              <w:rPr>
                <w:rFonts w:hint="eastAsia" w:ascii="仿宋_GB2312" w:hAnsi="仿宋_GB2312" w:eastAsia="仿宋_GB2312" w:cs="仿宋_GB2312"/>
                <w:color w:val="auto"/>
                <w:szCs w:val="21"/>
                <w:lang w:val="en-US" w:eastAsia="zh-CN"/>
              </w:rPr>
              <w:t xml:space="preserve"> </w:t>
            </w:r>
            <w:r>
              <w:rPr>
                <w:rFonts w:hint="eastAsia" w:ascii="仿宋_GB2312" w:hAnsi="仿宋_GB2312" w:eastAsia="仿宋_GB2312" w:cs="仿宋_GB2312"/>
                <w:color w:val="auto"/>
                <w:szCs w:val="21"/>
              </w:rPr>
              <w:t>律师有下列情形之一的，由司法行政部门给予警告、责令改正；情节严重的，给予１个月以上</w:t>
            </w:r>
            <w:r>
              <w:rPr>
                <w:rFonts w:hint="eastAsia" w:ascii="仿宋_GB2312" w:hAnsi="仿宋_GB2312" w:eastAsia="仿宋_GB2312" w:cs="仿宋_GB2312"/>
                <w:color w:val="auto"/>
                <w:szCs w:val="21"/>
                <w:lang w:val="en-US" w:eastAsia="zh-CN"/>
              </w:rPr>
              <w:t>3</w:t>
            </w:r>
            <w:r>
              <w:rPr>
                <w:rFonts w:hint="eastAsia" w:ascii="仿宋_GB2312" w:hAnsi="仿宋_GB2312" w:eastAsia="仿宋_GB2312" w:cs="仿宋_GB2312"/>
                <w:color w:val="auto"/>
                <w:szCs w:val="21"/>
              </w:rPr>
              <w:t>个月以下停止执业的处罚：</w:t>
            </w:r>
            <w:r>
              <w:rPr>
                <w:rFonts w:hint="eastAsia" w:ascii="仿宋_GB2312" w:hAnsi="仿宋_GB2312" w:eastAsia="仿宋_GB2312" w:cs="仿宋_GB2312"/>
                <w:color w:val="auto"/>
                <w:szCs w:val="21"/>
                <w:lang w:eastAsia="zh-CN"/>
              </w:rPr>
              <w:t>（一）</w:t>
            </w:r>
            <w:r>
              <w:rPr>
                <w:rFonts w:hint="eastAsia" w:ascii="仿宋_GB2312" w:hAnsi="仿宋_GB2312" w:eastAsia="仿宋_GB2312" w:cs="仿宋_GB2312"/>
                <w:color w:val="auto"/>
                <w:szCs w:val="21"/>
              </w:rPr>
              <w:t>无正当理由拒绝接受、擅自终止法律援助案件的；（二）办理法律援助案件收取财物的。</w:t>
            </w:r>
          </w:p>
          <w:p>
            <w:pPr>
              <w:spacing w:line="27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有前款第（二）项违法行为的，由司法行政部门责令退还违法所得的财物，可以并处所收财物价值１倍以上３倍以下的罚款。</w:t>
            </w:r>
          </w:p>
          <w:p>
            <w:pPr>
              <w:spacing w:line="27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【地方性法规】《宁夏回族自治区法律援助条例》（</w:t>
            </w:r>
            <w:r>
              <w:rPr>
                <w:rFonts w:hint="eastAsia" w:ascii="仿宋_GB2312" w:hAnsi="仿宋_GB2312" w:eastAsia="仿宋_GB2312" w:cs="仿宋_GB2312"/>
                <w:color w:val="auto"/>
                <w:szCs w:val="21"/>
                <w:lang w:val="en-US" w:eastAsia="zh-CN"/>
              </w:rPr>
              <w:t>2017年修正</w:t>
            </w:r>
            <w:r>
              <w:rPr>
                <w:rFonts w:hint="eastAsia" w:ascii="仿宋_GB2312" w:hAnsi="仿宋_GB2312" w:eastAsia="仿宋_GB2312" w:cs="仿宋_GB2312"/>
                <w:color w:val="auto"/>
                <w:szCs w:val="21"/>
              </w:rPr>
              <w:t>）</w:t>
            </w:r>
          </w:p>
          <w:p>
            <w:pPr>
              <w:spacing w:line="270" w:lineRule="exact"/>
              <w:ind w:firstLine="210" w:firstLineChars="100"/>
              <w:rPr>
                <w:rFonts w:hint="eastAsia" w:ascii="仿宋_GB2312" w:eastAsia="仿宋_GB2312" w:cs="仿宋_GB2312"/>
                <w:color w:val="auto"/>
                <w:kern w:val="0"/>
                <w:szCs w:val="21"/>
              </w:rPr>
            </w:pPr>
            <w:r>
              <w:rPr>
                <w:rFonts w:hint="eastAsia" w:ascii="仿宋_GB2312" w:hAnsi="仿宋_GB2312" w:eastAsia="仿宋_GB2312" w:cs="仿宋_GB2312"/>
                <w:color w:val="auto"/>
                <w:szCs w:val="21"/>
              </w:rPr>
              <w:t>第三十三条 律师有下列情形之一的，由司法行政部门给予警告、责令改正；情节严重的，给予一个月以上三个月以下停止执业的处罚：</w:t>
            </w:r>
            <w:r>
              <w:rPr>
                <w:rFonts w:hint="eastAsia" w:ascii="仿宋_GB2312" w:hAnsi="仿宋_GB2312" w:eastAsia="仿宋_GB2312" w:cs="仿宋_GB2312"/>
                <w:color w:val="auto"/>
                <w:szCs w:val="21"/>
                <w:lang w:eastAsia="zh-CN"/>
              </w:rPr>
              <w:t>（一）</w:t>
            </w:r>
            <w:r>
              <w:rPr>
                <w:rFonts w:hint="eastAsia" w:ascii="仿宋_GB2312" w:hAnsi="仿宋_GB2312" w:eastAsia="仿宋_GB2312" w:cs="仿宋_GB2312"/>
                <w:color w:val="auto"/>
                <w:szCs w:val="21"/>
              </w:rPr>
              <w:t xml:space="preserve">无正当理由拒绝接受、擅自终止法律援助案件的；（二）向受援人索要、收取财物或者牟取其他不正当利益的。 </w:t>
            </w:r>
            <w:r>
              <w:rPr>
                <w:rFonts w:hint="eastAsia" w:ascii="仿宋_GB2312" w:hAnsi="仿宋_GB2312" w:eastAsia="仿宋_GB2312" w:cs="仿宋_GB2312"/>
                <w:color w:val="auto"/>
                <w:szCs w:val="21"/>
              </w:rPr>
              <w:br w:type="textWrapping"/>
            </w:r>
            <w:r>
              <w:rPr>
                <w:rFonts w:hint="eastAsia" w:ascii="仿宋_GB2312" w:hAnsi="仿宋_GB2312" w:eastAsia="仿宋_GB2312" w:cs="仿宋_GB2312"/>
                <w:color w:val="auto"/>
                <w:szCs w:val="21"/>
              </w:rPr>
              <w:t>　　有前款第（二）项违法行为的，由司法行政部门;构成犯罪的，依法追究刑事责任。</w:t>
            </w:r>
          </w:p>
        </w:tc>
        <w:tc>
          <w:tcPr>
            <w:tcW w:w="910" w:type="dxa"/>
            <w:vAlign w:val="center"/>
          </w:tcPr>
          <w:p>
            <w:pPr>
              <w:spacing w:line="270" w:lineRule="exact"/>
              <w:ind w:firstLine="210" w:firstLineChars="100"/>
              <w:rPr>
                <w:rFonts w:hint="eastAsia"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设区</w:t>
            </w:r>
          </w:p>
          <w:p>
            <w:pPr>
              <w:spacing w:line="270" w:lineRule="exact"/>
              <w:ind w:firstLine="210" w:firstLineChars="1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szCs w:val="21"/>
                <w:lang w:eastAsia="zh-CN"/>
              </w:rPr>
              <w:t>的市</w:t>
            </w:r>
          </w:p>
        </w:tc>
        <w:tc>
          <w:tcPr>
            <w:tcW w:w="1567" w:type="dxa"/>
            <w:vAlign w:val="center"/>
          </w:tcPr>
          <w:p>
            <w:pPr>
              <w:spacing w:line="27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给予警告、责令改正；情节严重的，给予１个月以上</w:t>
            </w:r>
            <w:r>
              <w:rPr>
                <w:rFonts w:hint="eastAsia" w:ascii="仿宋_GB2312" w:hAnsi="仿宋_GB2312" w:eastAsia="仿宋_GB2312" w:cs="仿宋_GB2312"/>
                <w:color w:val="auto"/>
                <w:szCs w:val="21"/>
                <w:lang w:val="en-US" w:eastAsia="zh-CN"/>
              </w:rPr>
              <w:t>3</w:t>
            </w:r>
            <w:r>
              <w:rPr>
                <w:rFonts w:hint="eastAsia" w:ascii="仿宋_GB2312" w:hAnsi="仿宋_GB2312" w:eastAsia="仿宋_GB2312" w:cs="仿宋_GB2312"/>
                <w:color w:val="auto"/>
                <w:szCs w:val="21"/>
              </w:rPr>
              <w:t>个月以下停止执业的处罚</w:t>
            </w:r>
            <w:r>
              <w:rPr>
                <w:rFonts w:hint="eastAsia" w:ascii="仿宋_GB2312" w:hAnsi="仿宋_GB2312" w:eastAsia="仿宋_GB2312" w:cs="仿宋_GB2312"/>
                <w:color w:val="auto"/>
                <w:szCs w:val="21"/>
                <w:lang w:eastAsia="zh-CN"/>
              </w:rPr>
              <w:t>；有（二）项</w:t>
            </w:r>
            <w:r>
              <w:rPr>
                <w:rFonts w:hint="eastAsia" w:ascii="仿宋_GB2312" w:hAnsi="仿宋_GB2312" w:eastAsia="仿宋_GB2312" w:cs="仿宋_GB2312"/>
                <w:color w:val="auto"/>
                <w:szCs w:val="21"/>
              </w:rPr>
              <w:t>违法行为的</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rPr>
              <w:t>责令退还违法所得的财物，可以并处所收财物价值一倍以上三倍以下的罚款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0" w:hRule="atLeast"/>
        </w:trPr>
        <w:tc>
          <w:tcPr>
            <w:tcW w:w="704" w:type="dxa"/>
            <w:vMerge w:val="restart"/>
            <w:vAlign w:val="center"/>
          </w:tcPr>
          <w:p>
            <w:pPr>
              <w:spacing w:line="270" w:lineRule="exact"/>
              <w:jc w:val="center"/>
              <w:rPr>
                <w:rFonts w:hint="eastAsia" w:ascii="仿宋_GB2312" w:eastAsia="仿宋_GB2312" w:cs="仿宋_GB2312"/>
                <w:color w:val="auto"/>
                <w:kern w:val="0"/>
                <w:szCs w:val="21"/>
              </w:rPr>
            </w:pPr>
            <w:r>
              <w:rPr>
                <w:rFonts w:hint="eastAsia" w:ascii="仿宋_GB2312" w:hAnsi="仿宋_GB2312" w:eastAsia="仿宋_GB2312" w:cs="仿宋_GB2312"/>
                <w:color w:val="auto"/>
                <w:szCs w:val="21"/>
                <w:lang w:val="en-US" w:eastAsia="zh-CN"/>
              </w:rPr>
              <w:t>37</w:t>
            </w:r>
          </w:p>
        </w:tc>
        <w:tc>
          <w:tcPr>
            <w:tcW w:w="1619" w:type="dxa"/>
            <w:vMerge w:val="restart"/>
            <w:vAlign w:val="center"/>
          </w:tcPr>
          <w:p>
            <w:pPr>
              <w:spacing w:line="270" w:lineRule="exact"/>
              <w:ind w:firstLine="210" w:firstLineChars="100"/>
              <w:rPr>
                <w:rFonts w:hint="eastAsia" w:ascii="仿宋_GB2312" w:eastAsia="仿宋_GB2312" w:cs="仿宋_GB2312"/>
                <w:color w:val="auto"/>
                <w:kern w:val="0"/>
                <w:szCs w:val="21"/>
              </w:rPr>
            </w:pPr>
            <w:r>
              <w:rPr>
                <w:rFonts w:hint="eastAsia" w:ascii="仿宋_GB2312" w:hAnsi="仿宋_GB2312" w:eastAsia="仿宋_GB2312" w:cs="仿宋_GB2312"/>
                <w:color w:val="auto"/>
                <w:szCs w:val="21"/>
              </w:rPr>
              <w:t>未取得律师执业证书以律师名义从事法律服务业务的处罚</w:t>
            </w:r>
          </w:p>
        </w:tc>
        <w:tc>
          <w:tcPr>
            <w:tcW w:w="791" w:type="dxa"/>
            <w:vMerge w:val="restart"/>
            <w:vAlign w:val="center"/>
          </w:tcPr>
          <w:p>
            <w:pPr>
              <w:spacing w:line="270" w:lineRule="exact"/>
              <w:rPr>
                <w:rFonts w:hint="eastAsia" w:ascii="仿宋_GB2312" w:eastAsia="仿宋_GB2312" w:cs="仿宋_GB2312"/>
                <w:color w:val="auto"/>
                <w:kern w:val="0"/>
                <w:szCs w:val="21"/>
              </w:rPr>
            </w:pPr>
            <w:r>
              <w:rPr>
                <w:rFonts w:hint="eastAsia" w:ascii="仿宋_GB2312" w:hAnsi="仿宋_GB2312" w:eastAsia="仿宋_GB2312" w:cs="仿宋_GB2312"/>
                <w:color w:val="auto"/>
                <w:szCs w:val="21"/>
              </w:rPr>
              <w:t>0209</w:t>
            </w:r>
            <w:r>
              <w:rPr>
                <w:rFonts w:ascii="仿宋_GB2312" w:hAnsi="仿宋_GB2312" w:eastAsia="仿宋_GB2312" w:cs="仿宋_GB2312"/>
                <w:color w:val="auto"/>
                <w:szCs w:val="21"/>
              </w:rPr>
              <w:t>03</w:t>
            </w:r>
            <w:r>
              <w:rPr>
                <w:rFonts w:hint="eastAsia" w:ascii="仿宋_GB2312" w:hAnsi="仿宋_GB2312" w:eastAsia="仿宋_GB2312" w:cs="仿宋_GB2312"/>
                <w:color w:val="auto"/>
                <w:szCs w:val="21"/>
                <w:lang w:val="en-US" w:eastAsia="zh-CN"/>
              </w:rPr>
              <w:t>7</w:t>
            </w:r>
            <w:r>
              <w:rPr>
                <w:rFonts w:ascii="仿宋_GB2312" w:hAnsi="仿宋_GB2312" w:eastAsia="仿宋_GB2312" w:cs="仿宋_GB2312"/>
                <w:color w:val="auto"/>
                <w:szCs w:val="21"/>
              </w:rPr>
              <w:t>000</w:t>
            </w:r>
          </w:p>
        </w:tc>
        <w:tc>
          <w:tcPr>
            <w:tcW w:w="717" w:type="dxa"/>
            <w:vMerge w:val="restart"/>
            <w:vAlign w:val="center"/>
          </w:tcPr>
          <w:p>
            <w:pPr>
              <w:spacing w:line="270" w:lineRule="exact"/>
              <w:jc w:val="center"/>
              <w:rPr>
                <w:rFonts w:hint="eastAsia" w:ascii="仿宋_GB2312" w:eastAsia="仿宋_GB2312" w:cs="仿宋_GB2312"/>
                <w:color w:val="auto"/>
                <w:kern w:val="0"/>
                <w:szCs w:val="21"/>
              </w:rPr>
            </w:pPr>
            <w:r>
              <w:rPr>
                <w:rFonts w:hint="eastAsia" w:ascii="仿宋_GB2312" w:hAnsi="仿宋_GB2312" w:eastAsia="仿宋_GB2312" w:cs="仿宋_GB2312"/>
                <w:color w:val="auto"/>
                <w:szCs w:val="21"/>
                <w:lang w:eastAsia="zh-CN"/>
              </w:rPr>
              <w:t>司法行政部门</w:t>
            </w:r>
          </w:p>
        </w:tc>
        <w:tc>
          <w:tcPr>
            <w:tcW w:w="7554" w:type="dxa"/>
            <w:vMerge w:val="restart"/>
            <w:vAlign w:val="center"/>
          </w:tcPr>
          <w:p>
            <w:pPr>
              <w:spacing w:line="27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【法律】《中华人民共和国律师法》（201</w:t>
            </w:r>
            <w:r>
              <w:rPr>
                <w:rFonts w:hint="eastAsia" w:ascii="仿宋_GB2312" w:hAnsi="仿宋_GB2312" w:eastAsia="仿宋_GB2312" w:cs="仿宋_GB2312"/>
                <w:color w:val="auto"/>
                <w:szCs w:val="21"/>
                <w:lang w:val="en-US" w:eastAsia="zh-CN"/>
              </w:rPr>
              <w:t>7</w:t>
            </w:r>
            <w:r>
              <w:rPr>
                <w:rFonts w:hint="eastAsia" w:ascii="仿宋_GB2312" w:hAnsi="仿宋_GB2312" w:eastAsia="仿宋_GB2312" w:cs="仿宋_GB2312"/>
                <w:color w:val="auto"/>
                <w:szCs w:val="21"/>
              </w:rPr>
              <w:t>年修正）</w:t>
            </w:r>
          </w:p>
          <w:p>
            <w:pPr>
              <w:spacing w:line="270" w:lineRule="exact"/>
              <w:ind w:firstLine="210" w:firstLineChars="100"/>
              <w:rPr>
                <w:rFonts w:hint="eastAsia" w:ascii="仿宋_GB2312" w:eastAsia="仿宋_GB2312" w:cs="仿宋_GB2312"/>
                <w:color w:val="auto"/>
                <w:kern w:val="0"/>
                <w:szCs w:val="21"/>
              </w:rPr>
            </w:pPr>
            <w:r>
              <w:rPr>
                <w:rFonts w:hint="eastAsia" w:ascii="仿宋_GB2312" w:hAnsi="仿宋_GB2312" w:eastAsia="仿宋_GB2312" w:cs="仿宋_GB2312"/>
                <w:color w:val="auto"/>
                <w:szCs w:val="21"/>
              </w:rPr>
              <w:t>第五十五条</w:t>
            </w:r>
            <w:r>
              <w:rPr>
                <w:rFonts w:hint="eastAsia" w:ascii="仿宋_GB2312" w:hAnsi="仿宋_GB2312" w:eastAsia="仿宋_GB2312" w:cs="仿宋_GB2312"/>
                <w:color w:val="auto"/>
                <w:szCs w:val="21"/>
                <w:lang w:val="en-US" w:eastAsia="zh-CN"/>
              </w:rPr>
              <w:t xml:space="preserve"> </w:t>
            </w:r>
            <w:r>
              <w:rPr>
                <w:rFonts w:hint="eastAsia" w:ascii="仿宋_GB2312" w:hAnsi="仿宋_GB2312" w:eastAsia="仿宋_GB2312" w:cs="仿宋_GB2312"/>
                <w:color w:val="auto"/>
                <w:szCs w:val="21"/>
              </w:rPr>
              <w:t>没有取得律师执业证书的人员以律师名义从事法律服务业务的，由所在地的县级以上地方人民政府司法行政部门责令停止非法执业，没收违法所得，处违法所得一倍以上五倍以下的罚款。</w:t>
            </w:r>
          </w:p>
        </w:tc>
        <w:tc>
          <w:tcPr>
            <w:tcW w:w="910" w:type="dxa"/>
            <w:vAlign w:val="center"/>
          </w:tcPr>
          <w:p>
            <w:pPr>
              <w:spacing w:line="270" w:lineRule="exact"/>
              <w:ind w:firstLine="210" w:firstLineChars="100"/>
              <w:rPr>
                <w:rFonts w:hint="eastAsia"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设区</w:t>
            </w:r>
          </w:p>
          <w:p>
            <w:pPr>
              <w:spacing w:line="270" w:lineRule="exact"/>
              <w:ind w:firstLine="210" w:firstLineChars="1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szCs w:val="21"/>
                <w:lang w:eastAsia="zh-CN"/>
              </w:rPr>
              <w:t>的市</w:t>
            </w:r>
          </w:p>
        </w:tc>
        <w:tc>
          <w:tcPr>
            <w:tcW w:w="1567" w:type="dxa"/>
            <w:vAlign w:val="center"/>
          </w:tcPr>
          <w:p>
            <w:pPr>
              <w:spacing w:line="27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责令停止非法执业，没收违法所得，处违法所得一倍以上五倍以下的罚款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0" w:hRule="atLeast"/>
        </w:trPr>
        <w:tc>
          <w:tcPr>
            <w:tcW w:w="704" w:type="dxa"/>
            <w:vMerge w:val="continue"/>
            <w:vAlign w:val="center"/>
          </w:tcPr>
          <w:p>
            <w:pPr>
              <w:spacing w:line="270" w:lineRule="exact"/>
              <w:ind w:firstLine="210" w:firstLineChars="100"/>
              <w:rPr>
                <w:color w:val="auto"/>
              </w:rPr>
            </w:pPr>
          </w:p>
        </w:tc>
        <w:tc>
          <w:tcPr>
            <w:tcW w:w="1619" w:type="dxa"/>
            <w:vMerge w:val="continue"/>
            <w:vAlign w:val="center"/>
          </w:tcPr>
          <w:p>
            <w:pPr>
              <w:spacing w:line="270" w:lineRule="exact"/>
              <w:ind w:firstLine="210" w:firstLineChars="100"/>
              <w:rPr>
                <w:color w:val="auto"/>
              </w:rPr>
            </w:pPr>
          </w:p>
        </w:tc>
        <w:tc>
          <w:tcPr>
            <w:tcW w:w="791" w:type="dxa"/>
            <w:vMerge w:val="continue"/>
            <w:vAlign w:val="center"/>
          </w:tcPr>
          <w:p>
            <w:pPr>
              <w:spacing w:line="270" w:lineRule="exact"/>
              <w:ind w:firstLine="210" w:firstLineChars="100"/>
              <w:rPr>
                <w:color w:val="auto"/>
              </w:rPr>
            </w:pPr>
          </w:p>
        </w:tc>
        <w:tc>
          <w:tcPr>
            <w:tcW w:w="717" w:type="dxa"/>
            <w:vMerge w:val="continue"/>
            <w:vAlign w:val="center"/>
          </w:tcPr>
          <w:p>
            <w:pPr>
              <w:spacing w:line="270" w:lineRule="exact"/>
              <w:ind w:firstLine="210" w:firstLineChars="100"/>
              <w:rPr>
                <w:color w:val="auto"/>
              </w:rPr>
            </w:pPr>
          </w:p>
        </w:tc>
        <w:tc>
          <w:tcPr>
            <w:tcW w:w="7554" w:type="dxa"/>
            <w:vMerge w:val="continue"/>
            <w:vAlign w:val="center"/>
          </w:tcPr>
          <w:p>
            <w:pPr>
              <w:spacing w:line="270" w:lineRule="exact"/>
              <w:ind w:firstLine="210" w:firstLineChars="100"/>
              <w:rPr>
                <w:color w:val="auto"/>
              </w:rPr>
            </w:pPr>
          </w:p>
        </w:tc>
        <w:tc>
          <w:tcPr>
            <w:tcW w:w="910" w:type="dxa"/>
            <w:vAlign w:val="center"/>
          </w:tcPr>
          <w:p>
            <w:pPr>
              <w:spacing w:line="270" w:lineRule="exact"/>
              <w:ind w:firstLine="210" w:firstLineChars="100"/>
              <w:rPr>
                <w:rFonts w:hint="eastAsia"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县级</w:t>
            </w:r>
          </w:p>
        </w:tc>
        <w:tc>
          <w:tcPr>
            <w:tcW w:w="1567" w:type="dxa"/>
            <w:vAlign w:val="center"/>
          </w:tcPr>
          <w:p>
            <w:pPr>
              <w:spacing w:line="270" w:lineRule="exact"/>
              <w:ind w:firstLine="210" w:firstLineChars="100"/>
              <w:rPr>
                <w:rFonts w:hint="eastAsia"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rPr>
              <w:t>责令停止非法执业，没收违法所得，处违法所得一倍以上五倍以下的罚款</w:t>
            </w:r>
          </w:p>
        </w:tc>
      </w:tr>
    </w:tbl>
    <w:p>
      <w:pPr>
        <w:widowControl/>
        <w:jc w:val="left"/>
        <w:rPr>
          <w:rFonts w:ascii="楷体_GB2312" w:eastAsia="楷体_GB2312"/>
          <w:b/>
          <w:bCs/>
          <w:color w:val="auto"/>
          <w:sz w:val="32"/>
          <w:szCs w:val="32"/>
        </w:rPr>
      </w:pPr>
      <w:r>
        <w:rPr>
          <w:rFonts w:ascii="楷体_GB2312" w:eastAsia="楷体_GB2312"/>
          <w:b/>
          <w:bCs/>
          <w:color w:val="auto"/>
          <w:sz w:val="32"/>
          <w:szCs w:val="32"/>
        </w:rPr>
        <w:br w:type="page"/>
      </w:r>
    </w:p>
    <w:p>
      <w:pPr>
        <w:widowControl/>
        <w:jc w:val="center"/>
        <w:rPr>
          <w:rFonts w:ascii="楷体_GB2312" w:eastAsia="楷体_GB2312"/>
          <w:b/>
          <w:bCs/>
          <w:color w:val="auto"/>
          <w:sz w:val="32"/>
          <w:szCs w:val="32"/>
        </w:rPr>
      </w:pPr>
      <w:r>
        <w:rPr>
          <w:rFonts w:hint="eastAsia" w:ascii="楷体_GB2312" w:eastAsia="楷体_GB2312"/>
          <w:b/>
          <w:bCs/>
          <w:color w:val="auto"/>
          <w:sz w:val="32"/>
          <w:szCs w:val="32"/>
        </w:rPr>
        <w:t>三、行政强制</w:t>
      </w:r>
    </w:p>
    <w:tbl>
      <w:tblPr>
        <w:tblStyle w:val="21"/>
        <w:tblW w:w="147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134"/>
        <w:gridCol w:w="765"/>
        <w:gridCol w:w="922"/>
        <w:gridCol w:w="7827"/>
        <w:gridCol w:w="976"/>
        <w:gridCol w:w="2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Header/>
          <w:jc w:val="center"/>
        </w:trPr>
        <w:tc>
          <w:tcPr>
            <w:tcW w:w="704" w:type="dxa"/>
            <w:vAlign w:val="center"/>
          </w:tcPr>
          <w:p>
            <w:pPr>
              <w:jc w:val="center"/>
              <w:rPr>
                <w:rFonts w:hint="eastAsia" w:ascii="仿宋_GB2312" w:hAnsi="仿宋" w:eastAsia="仿宋_GB2312" w:cs="仿宋"/>
                <w:b/>
                <w:color w:val="auto"/>
                <w:szCs w:val="21"/>
              </w:rPr>
            </w:pPr>
            <w:r>
              <w:rPr>
                <w:rFonts w:hint="eastAsia" w:ascii="仿宋_GB2312" w:hAnsi="仿宋" w:eastAsia="仿宋_GB2312" w:cs="仿宋"/>
                <w:b/>
                <w:color w:val="auto"/>
                <w:szCs w:val="21"/>
              </w:rPr>
              <w:t>序号</w:t>
            </w:r>
          </w:p>
        </w:tc>
        <w:tc>
          <w:tcPr>
            <w:tcW w:w="1134" w:type="dxa"/>
            <w:vAlign w:val="center"/>
          </w:tcPr>
          <w:p>
            <w:pPr>
              <w:jc w:val="center"/>
              <w:rPr>
                <w:rFonts w:hint="eastAsia" w:ascii="仿宋_GB2312" w:hAnsi="仿宋" w:eastAsia="仿宋_GB2312" w:cs="仿宋"/>
                <w:b/>
                <w:color w:val="auto"/>
                <w:szCs w:val="21"/>
              </w:rPr>
            </w:pPr>
            <w:r>
              <w:rPr>
                <w:rFonts w:hint="eastAsia" w:ascii="仿宋_GB2312" w:hAnsi="仿宋" w:eastAsia="仿宋_GB2312" w:cs="仿宋"/>
                <w:b/>
                <w:color w:val="auto"/>
                <w:szCs w:val="21"/>
              </w:rPr>
              <w:t>职权</w:t>
            </w:r>
          </w:p>
          <w:p>
            <w:pPr>
              <w:jc w:val="center"/>
              <w:rPr>
                <w:rFonts w:hint="eastAsia" w:ascii="仿宋_GB2312" w:hAnsi="仿宋" w:eastAsia="仿宋_GB2312" w:cs="仿宋"/>
                <w:b/>
                <w:color w:val="auto"/>
                <w:szCs w:val="21"/>
              </w:rPr>
            </w:pPr>
            <w:r>
              <w:rPr>
                <w:rFonts w:hint="eastAsia" w:ascii="仿宋_GB2312" w:hAnsi="仿宋" w:eastAsia="仿宋_GB2312" w:cs="仿宋"/>
                <w:b/>
                <w:color w:val="auto"/>
                <w:szCs w:val="21"/>
              </w:rPr>
              <w:t>名称</w:t>
            </w:r>
          </w:p>
        </w:tc>
        <w:tc>
          <w:tcPr>
            <w:tcW w:w="765" w:type="dxa"/>
            <w:vAlign w:val="center"/>
          </w:tcPr>
          <w:p>
            <w:pPr>
              <w:jc w:val="center"/>
              <w:rPr>
                <w:rFonts w:hint="eastAsia" w:ascii="仿宋_GB2312" w:hAnsi="仿宋" w:eastAsia="仿宋_GB2312" w:cs="仿宋"/>
                <w:b/>
                <w:color w:val="auto"/>
                <w:szCs w:val="21"/>
              </w:rPr>
            </w:pPr>
            <w:r>
              <w:rPr>
                <w:rFonts w:hint="eastAsia" w:ascii="仿宋_GB2312" w:hAnsi="仿宋" w:eastAsia="仿宋_GB2312" w:cs="仿宋"/>
                <w:b/>
                <w:color w:val="auto"/>
                <w:szCs w:val="21"/>
              </w:rPr>
              <w:t>基本编码</w:t>
            </w:r>
          </w:p>
        </w:tc>
        <w:tc>
          <w:tcPr>
            <w:tcW w:w="922" w:type="dxa"/>
            <w:vAlign w:val="center"/>
          </w:tcPr>
          <w:p>
            <w:pPr>
              <w:jc w:val="center"/>
              <w:rPr>
                <w:rFonts w:hint="eastAsia" w:ascii="仿宋_GB2312" w:hAnsi="仿宋" w:eastAsia="仿宋_GB2312" w:cs="仿宋"/>
                <w:b/>
                <w:color w:val="auto"/>
                <w:szCs w:val="21"/>
              </w:rPr>
            </w:pPr>
            <w:r>
              <w:rPr>
                <w:rFonts w:hint="eastAsia" w:ascii="仿宋_GB2312" w:hAnsi="仿宋" w:eastAsia="仿宋_GB2312" w:cs="仿宋"/>
                <w:b/>
                <w:color w:val="auto"/>
                <w:szCs w:val="21"/>
              </w:rPr>
              <w:t>实施</w:t>
            </w:r>
          </w:p>
          <w:p>
            <w:pPr>
              <w:jc w:val="center"/>
              <w:rPr>
                <w:rFonts w:hint="eastAsia" w:ascii="仿宋_GB2312" w:hAnsi="仿宋" w:eastAsia="仿宋_GB2312" w:cs="仿宋"/>
                <w:b/>
                <w:color w:val="auto"/>
                <w:szCs w:val="21"/>
              </w:rPr>
            </w:pPr>
            <w:r>
              <w:rPr>
                <w:rFonts w:hint="eastAsia" w:ascii="仿宋_GB2312" w:hAnsi="仿宋" w:eastAsia="仿宋_GB2312" w:cs="仿宋"/>
                <w:b/>
                <w:color w:val="auto"/>
                <w:szCs w:val="21"/>
              </w:rPr>
              <w:t>部门</w:t>
            </w:r>
          </w:p>
        </w:tc>
        <w:tc>
          <w:tcPr>
            <w:tcW w:w="7827" w:type="dxa"/>
            <w:vAlign w:val="center"/>
          </w:tcPr>
          <w:p>
            <w:pPr>
              <w:jc w:val="center"/>
              <w:rPr>
                <w:rFonts w:hint="eastAsia" w:ascii="仿宋_GB2312" w:hAnsi="仿宋" w:eastAsia="仿宋_GB2312" w:cs="仿宋"/>
                <w:b/>
                <w:color w:val="auto"/>
                <w:szCs w:val="21"/>
              </w:rPr>
            </w:pPr>
            <w:r>
              <w:rPr>
                <w:rFonts w:hint="eastAsia" w:ascii="仿宋_GB2312" w:hAnsi="仿宋" w:eastAsia="仿宋_GB2312" w:cs="仿宋"/>
                <w:b/>
                <w:color w:val="auto"/>
                <w:szCs w:val="21"/>
              </w:rPr>
              <w:t>职权依据</w:t>
            </w:r>
          </w:p>
        </w:tc>
        <w:tc>
          <w:tcPr>
            <w:tcW w:w="976" w:type="dxa"/>
            <w:vAlign w:val="center"/>
          </w:tcPr>
          <w:p>
            <w:pPr>
              <w:jc w:val="center"/>
              <w:rPr>
                <w:rFonts w:hint="eastAsia" w:ascii="仿宋_GB2312" w:hAnsi="仿宋" w:eastAsia="仿宋_GB2312" w:cs="仿宋"/>
                <w:b/>
                <w:color w:val="auto"/>
                <w:szCs w:val="21"/>
              </w:rPr>
            </w:pPr>
            <w:r>
              <w:rPr>
                <w:rFonts w:hint="eastAsia" w:ascii="仿宋_GB2312" w:hAnsi="仿宋" w:eastAsia="仿宋_GB2312" w:cs="仿宋"/>
                <w:b/>
                <w:color w:val="auto"/>
                <w:szCs w:val="21"/>
              </w:rPr>
              <w:t>行使</w:t>
            </w:r>
          </w:p>
          <w:p>
            <w:pPr>
              <w:jc w:val="center"/>
              <w:rPr>
                <w:rFonts w:hint="eastAsia" w:ascii="仿宋_GB2312" w:hAnsi="仿宋" w:eastAsia="仿宋_GB2312" w:cs="仿宋"/>
                <w:b/>
                <w:color w:val="auto"/>
                <w:szCs w:val="21"/>
              </w:rPr>
            </w:pPr>
            <w:r>
              <w:rPr>
                <w:rFonts w:hint="eastAsia" w:ascii="仿宋_GB2312" w:hAnsi="仿宋" w:eastAsia="仿宋_GB2312" w:cs="仿宋"/>
                <w:b/>
                <w:color w:val="auto"/>
                <w:szCs w:val="21"/>
              </w:rPr>
              <w:t>层级</w:t>
            </w:r>
          </w:p>
        </w:tc>
        <w:tc>
          <w:tcPr>
            <w:tcW w:w="2414" w:type="dxa"/>
            <w:vAlign w:val="center"/>
          </w:tcPr>
          <w:p>
            <w:pPr>
              <w:jc w:val="center"/>
              <w:rPr>
                <w:rFonts w:hint="eastAsia" w:ascii="仿宋_GB2312" w:hAnsi="仿宋" w:eastAsia="仿宋_GB2312" w:cs="仿宋"/>
                <w:b/>
                <w:color w:val="auto"/>
                <w:szCs w:val="21"/>
              </w:rPr>
            </w:pPr>
            <w:r>
              <w:rPr>
                <w:rFonts w:hint="eastAsia" w:ascii="仿宋_GB2312" w:hAnsi="仿宋" w:eastAsia="仿宋_GB2312" w:cs="仿宋"/>
                <w:b/>
                <w:color w:val="auto"/>
                <w:szCs w:val="21"/>
              </w:rPr>
              <w:t>行使内容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5" w:hRule="atLeast"/>
          <w:jc w:val="center"/>
        </w:trPr>
        <w:tc>
          <w:tcPr>
            <w:tcW w:w="704" w:type="dxa"/>
            <w:vMerge w:val="restart"/>
            <w:vAlign w:val="center"/>
          </w:tcPr>
          <w:p>
            <w:pPr>
              <w:spacing w:line="270" w:lineRule="exact"/>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1</w:t>
            </w:r>
          </w:p>
        </w:tc>
        <w:tc>
          <w:tcPr>
            <w:tcW w:w="1134" w:type="dxa"/>
            <w:vMerge w:val="restart"/>
            <w:vAlign w:val="center"/>
          </w:tcPr>
          <w:p>
            <w:pPr>
              <w:spacing w:line="270" w:lineRule="exact"/>
              <w:rPr>
                <w:rFonts w:hint="eastAsia" w:ascii="仿宋_GB2312" w:eastAsia="仿宋_GB2312" w:cs="仿宋_GB2312"/>
                <w:color w:val="auto"/>
                <w:szCs w:val="21"/>
              </w:rPr>
            </w:pPr>
            <w:r>
              <w:rPr>
                <w:rFonts w:hint="eastAsia" w:ascii="仿宋_GB2312" w:hAnsi="仿宋_GB2312" w:eastAsia="仿宋_GB2312" w:cs="仿宋_GB2312"/>
                <w:color w:val="auto"/>
                <w:szCs w:val="21"/>
              </w:rPr>
              <w:t>强制隔离戒毒执行</w:t>
            </w:r>
          </w:p>
        </w:tc>
        <w:tc>
          <w:tcPr>
            <w:tcW w:w="765" w:type="dxa"/>
            <w:vMerge w:val="restart"/>
            <w:vAlign w:val="center"/>
          </w:tcPr>
          <w:p>
            <w:pPr>
              <w:spacing w:line="270" w:lineRule="exact"/>
              <w:jc w:val="center"/>
              <w:rPr>
                <w:rFonts w:hint="eastAsia" w:ascii="仿宋_GB2312" w:eastAsia="仿宋_GB2312" w:cs="仿宋_GB2312"/>
                <w:color w:val="auto"/>
                <w:szCs w:val="21"/>
              </w:rPr>
            </w:pPr>
            <w:r>
              <w:rPr>
                <w:rFonts w:hint="eastAsia" w:ascii="仿宋_GB2312" w:eastAsia="仿宋_GB2312" w:cs="仿宋_GB2312"/>
                <w:color w:val="auto"/>
                <w:szCs w:val="21"/>
              </w:rPr>
              <w:t>0309001000</w:t>
            </w:r>
          </w:p>
        </w:tc>
        <w:tc>
          <w:tcPr>
            <w:tcW w:w="922" w:type="dxa"/>
            <w:vMerge w:val="restart"/>
            <w:vAlign w:val="center"/>
          </w:tcPr>
          <w:p>
            <w:pPr>
              <w:spacing w:line="270" w:lineRule="exact"/>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827" w:type="dxa"/>
            <w:vMerge w:val="restart"/>
            <w:vAlign w:val="center"/>
          </w:tcPr>
          <w:p>
            <w:pPr>
              <w:spacing w:line="27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【法律】《中华人民共和国禁毒法》（2007年12月29日颁布）</w:t>
            </w:r>
          </w:p>
          <w:p>
            <w:pPr>
              <w:spacing w:line="27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第四十一条  对被决定予以强制隔离戒毒的人员，由作出决定的公安机关送强制隔离戒毒所执行。</w:t>
            </w:r>
          </w:p>
          <w:p>
            <w:pPr>
              <w:spacing w:line="27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【行政法规】《戒毒条例》（2011年国务院令第597号）</w:t>
            </w:r>
          </w:p>
          <w:p>
            <w:pPr>
              <w:spacing w:line="27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第二十七条  强制隔离戒毒的期限为2年，自作出强制隔离戒毒决定之日起计算。被强制隔离戒毒的人员在公安机关的强制隔离戒毒场所执行强制隔离戒毒3个月至6个月后，转至司法行政部门的强制隔离戒毒场所继续执行强制隔离戒毒。执行前款规定不具备条件的省、自治区、直辖市，由公安机关和司法行政部门共同提出意见报省、自治区、直辖市人民政府决定具体执行方案，但在公安机关的强制隔离戒毒场所执行强制隔离戒毒的时间不得超过12个月。</w:t>
            </w:r>
          </w:p>
          <w:p>
            <w:pPr>
              <w:spacing w:line="27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【部门规章】《司法行政机关强制隔离戒毒工作规定》（2013年4月3日司法部令第127号）</w:t>
            </w:r>
          </w:p>
          <w:p>
            <w:pPr>
              <w:spacing w:line="27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第三条  司法行政机关强制隔离戒毒所对经公安机关作出强制隔离戒毒决定，在公安机关强制隔离戒毒场所执行三个月至六个月后，或者依据省、自治区、直辖市具体执行方案送交的强制隔离戒毒人员，依法执行强制隔离戒毒。</w:t>
            </w:r>
          </w:p>
        </w:tc>
        <w:tc>
          <w:tcPr>
            <w:tcW w:w="976" w:type="dxa"/>
            <w:vAlign w:val="center"/>
          </w:tcPr>
          <w:p>
            <w:pPr>
              <w:spacing w:line="270" w:lineRule="exact"/>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自治区</w:t>
            </w:r>
          </w:p>
        </w:tc>
        <w:tc>
          <w:tcPr>
            <w:tcW w:w="2414" w:type="dxa"/>
            <w:vAlign w:val="center"/>
          </w:tcPr>
          <w:p>
            <w:pPr>
              <w:spacing w:line="270" w:lineRule="exact"/>
              <w:jc w:val="left"/>
              <w:rPr>
                <w:rFonts w:hint="eastAsia" w:ascii="仿宋_GB2312" w:eastAsia="仿宋_GB2312" w:cs="仿宋_GB2312"/>
                <w:color w:val="auto"/>
                <w:szCs w:val="21"/>
              </w:rPr>
            </w:pPr>
            <w:r>
              <w:rPr>
                <w:rFonts w:hint="eastAsia" w:ascii="仿宋_GB2312" w:hAnsi="仿宋_GB2312" w:eastAsia="仿宋_GB2312" w:cs="仿宋_GB2312"/>
                <w:color w:val="auto"/>
                <w:szCs w:val="21"/>
              </w:rPr>
              <w:t>对各强制隔离戒毒所提出的提前解除强制隔离戒毒或者延长强制隔离戒毒进行监督。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0" w:hRule="atLeast"/>
          <w:jc w:val="center"/>
        </w:trPr>
        <w:tc>
          <w:tcPr>
            <w:tcW w:w="704" w:type="dxa"/>
            <w:vMerge w:val="continue"/>
            <w:vAlign w:val="center"/>
          </w:tcPr>
          <w:p>
            <w:pPr>
              <w:spacing w:line="270" w:lineRule="exact"/>
              <w:jc w:val="left"/>
              <w:rPr>
                <w:rFonts w:hint="eastAsia" w:ascii="仿宋_GB2312" w:eastAsia="仿宋_GB2312"/>
                <w:color w:val="auto"/>
              </w:rPr>
            </w:pPr>
          </w:p>
        </w:tc>
        <w:tc>
          <w:tcPr>
            <w:tcW w:w="1134" w:type="dxa"/>
            <w:vMerge w:val="continue"/>
            <w:vAlign w:val="center"/>
          </w:tcPr>
          <w:p>
            <w:pPr>
              <w:spacing w:line="270" w:lineRule="exact"/>
              <w:jc w:val="left"/>
              <w:rPr>
                <w:rFonts w:hint="eastAsia" w:ascii="仿宋_GB2312" w:eastAsia="仿宋_GB2312"/>
                <w:color w:val="auto"/>
              </w:rPr>
            </w:pPr>
          </w:p>
        </w:tc>
        <w:tc>
          <w:tcPr>
            <w:tcW w:w="765" w:type="dxa"/>
            <w:vMerge w:val="continue"/>
            <w:vAlign w:val="center"/>
          </w:tcPr>
          <w:p>
            <w:pPr>
              <w:spacing w:line="270" w:lineRule="exact"/>
              <w:jc w:val="left"/>
              <w:rPr>
                <w:rFonts w:hint="eastAsia" w:ascii="仿宋_GB2312" w:eastAsia="仿宋_GB2312"/>
                <w:color w:val="auto"/>
              </w:rPr>
            </w:pPr>
          </w:p>
        </w:tc>
        <w:tc>
          <w:tcPr>
            <w:tcW w:w="922" w:type="dxa"/>
            <w:vMerge w:val="continue"/>
            <w:vAlign w:val="center"/>
          </w:tcPr>
          <w:p>
            <w:pPr>
              <w:spacing w:line="270" w:lineRule="exact"/>
              <w:jc w:val="left"/>
              <w:rPr>
                <w:rFonts w:hint="eastAsia" w:ascii="仿宋_GB2312" w:eastAsia="仿宋_GB2312"/>
                <w:color w:val="auto"/>
              </w:rPr>
            </w:pPr>
          </w:p>
        </w:tc>
        <w:tc>
          <w:tcPr>
            <w:tcW w:w="7827" w:type="dxa"/>
            <w:vMerge w:val="continue"/>
            <w:vAlign w:val="center"/>
          </w:tcPr>
          <w:p>
            <w:pPr>
              <w:spacing w:line="270" w:lineRule="exact"/>
              <w:jc w:val="left"/>
              <w:rPr>
                <w:rFonts w:hint="eastAsia" w:ascii="仿宋_GB2312" w:eastAsia="仿宋_GB2312"/>
                <w:color w:val="auto"/>
              </w:rPr>
            </w:pPr>
          </w:p>
        </w:tc>
        <w:tc>
          <w:tcPr>
            <w:tcW w:w="976" w:type="dxa"/>
            <w:vAlign w:val="center"/>
          </w:tcPr>
          <w:p>
            <w:pPr>
              <w:spacing w:line="27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设区</w:t>
            </w:r>
          </w:p>
          <w:p>
            <w:pPr>
              <w:spacing w:line="270" w:lineRule="exact"/>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的市</w:t>
            </w:r>
          </w:p>
        </w:tc>
        <w:tc>
          <w:tcPr>
            <w:tcW w:w="2414" w:type="dxa"/>
            <w:vAlign w:val="center"/>
          </w:tcPr>
          <w:p>
            <w:pPr>
              <w:spacing w:line="270" w:lineRule="exact"/>
              <w:jc w:val="left"/>
              <w:rPr>
                <w:rFonts w:hint="eastAsia" w:ascii="仿宋_GB2312" w:eastAsia="仿宋_GB2312" w:cs="仿宋_GB2312"/>
                <w:color w:val="auto"/>
                <w:szCs w:val="21"/>
              </w:rPr>
            </w:pPr>
            <w:r>
              <w:rPr>
                <w:rFonts w:hint="eastAsia" w:ascii="仿宋_GB2312" w:hAnsi="仿宋_GB2312" w:eastAsia="仿宋_GB2312" w:cs="仿宋_GB2312"/>
                <w:color w:val="auto"/>
                <w:szCs w:val="21"/>
              </w:rPr>
              <w:t>执行强制隔离戒毒，对生理脱毒、身心康复、行为表现评估结果均达到“合格”的戒毒人员，强制隔离戒毒所应当按期解除强制隔离戒毒；对生理脱毒、身心康复评估结果中有一项以上为“不合格”的，强制隔离戒毒所可以提出延长强制隔离戒毒期限三至六个月的意见；对行为表现评估结果尚未达到“合格”的，强制隔离戒毒所根据其情况，可以提出延长强制隔离戒毒期限的意见，延长时间不得超过十二个月。</w:t>
            </w:r>
          </w:p>
        </w:tc>
      </w:tr>
    </w:tbl>
    <w:p>
      <w:pPr>
        <w:widowControl/>
        <w:jc w:val="left"/>
        <w:rPr>
          <w:rFonts w:ascii="楷体_GB2312" w:eastAsia="楷体_GB2312"/>
          <w:b/>
          <w:bCs/>
          <w:color w:val="auto"/>
          <w:sz w:val="32"/>
          <w:szCs w:val="32"/>
        </w:rPr>
      </w:pPr>
      <w:r>
        <w:rPr>
          <w:rFonts w:ascii="楷体_GB2312" w:eastAsia="楷体_GB2312"/>
          <w:b/>
          <w:bCs/>
          <w:color w:val="auto"/>
          <w:sz w:val="32"/>
          <w:szCs w:val="32"/>
        </w:rPr>
        <w:br w:type="page"/>
      </w:r>
    </w:p>
    <w:p>
      <w:pPr>
        <w:jc w:val="center"/>
        <w:rPr>
          <w:rFonts w:ascii="楷体_GB2312" w:eastAsia="楷体_GB2312"/>
          <w:b/>
          <w:bCs/>
          <w:color w:val="auto"/>
          <w:sz w:val="32"/>
          <w:szCs w:val="32"/>
        </w:rPr>
      </w:pPr>
      <w:r>
        <w:rPr>
          <w:rFonts w:hint="eastAsia" w:ascii="楷体_GB2312" w:eastAsia="楷体_GB2312"/>
          <w:b/>
          <w:bCs/>
          <w:color w:val="auto"/>
          <w:sz w:val="32"/>
          <w:szCs w:val="32"/>
        </w:rPr>
        <w:t>四、行政给付</w:t>
      </w:r>
    </w:p>
    <w:tbl>
      <w:tblPr>
        <w:tblStyle w:val="22"/>
        <w:tblW w:w="145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1011"/>
        <w:gridCol w:w="833"/>
        <w:gridCol w:w="898"/>
        <w:gridCol w:w="7700"/>
        <w:gridCol w:w="1039"/>
        <w:gridCol w:w="2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center"/>
          </w:tcPr>
          <w:p>
            <w:pPr>
              <w:jc w:val="center"/>
              <w:rPr>
                <w:rFonts w:ascii="仿宋_GB2312" w:hAnsi="仿宋" w:eastAsia="仿宋_GB2312" w:cs="仿宋"/>
                <w:b/>
                <w:color w:val="auto"/>
                <w:szCs w:val="21"/>
              </w:rPr>
            </w:pPr>
            <w:r>
              <w:rPr>
                <w:rFonts w:hint="eastAsia" w:ascii="仿宋_GB2312" w:hAnsi="仿宋" w:eastAsia="仿宋_GB2312" w:cs="仿宋"/>
                <w:b/>
                <w:color w:val="auto"/>
                <w:szCs w:val="21"/>
              </w:rPr>
              <w:t>序号</w:t>
            </w:r>
          </w:p>
        </w:tc>
        <w:tc>
          <w:tcPr>
            <w:tcW w:w="1011" w:type="dxa"/>
            <w:vAlign w:val="center"/>
          </w:tcPr>
          <w:p>
            <w:pPr>
              <w:jc w:val="center"/>
              <w:rPr>
                <w:rFonts w:ascii="仿宋_GB2312" w:hAnsi="仿宋" w:eastAsia="仿宋_GB2312" w:cs="仿宋"/>
                <w:b/>
                <w:color w:val="auto"/>
                <w:szCs w:val="21"/>
              </w:rPr>
            </w:pPr>
            <w:r>
              <w:rPr>
                <w:rFonts w:hint="eastAsia" w:ascii="仿宋_GB2312" w:hAnsi="仿宋" w:eastAsia="仿宋_GB2312" w:cs="仿宋"/>
                <w:b/>
                <w:color w:val="auto"/>
                <w:szCs w:val="21"/>
              </w:rPr>
              <w:t>职权</w:t>
            </w:r>
          </w:p>
          <w:p>
            <w:pPr>
              <w:jc w:val="center"/>
              <w:rPr>
                <w:rFonts w:ascii="仿宋_GB2312" w:hAnsi="仿宋" w:eastAsia="仿宋_GB2312" w:cs="仿宋"/>
                <w:b/>
                <w:color w:val="auto"/>
                <w:szCs w:val="21"/>
              </w:rPr>
            </w:pPr>
            <w:r>
              <w:rPr>
                <w:rFonts w:hint="eastAsia" w:ascii="仿宋_GB2312" w:hAnsi="仿宋" w:eastAsia="仿宋_GB2312" w:cs="仿宋"/>
                <w:b/>
                <w:color w:val="auto"/>
                <w:szCs w:val="21"/>
              </w:rPr>
              <w:t>名称</w:t>
            </w:r>
          </w:p>
        </w:tc>
        <w:tc>
          <w:tcPr>
            <w:tcW w:w="833" w:type="dxa"/>
            <w:vAlign w:val="center"/>
          </w:tcPr>
          <w:p>
            <w:pPr>
              <w:jc w:val="center"/>
              <w:rPr>
                <w:rFonts w:ascii="仿宋_GB2312" w:hAnsi="仿宋" w:eastAsia="仿宋_GB2312" w:cs="仿宋"/>
                <w:b/>
                <w:color w:val="auto"/>
                <w:szCs w:val="21"/>
              </w:rPr>
            </w:pPr>
            <w:r>
              <w:rPr>
                <w:rFonts w:hint="eastAsia" w:ascii="仿宋_GB2312" w:hAnsi="仿宋" w:eastAsia="仿宋_GB2312" w:cs="仿宋"/>
                <w:b/>
                <w:color w:val="auto"/>
                <w:szCs w:val="21"/>
              </w:rPr>
              <w:t>基本编码</w:t>
            </w:r>
          </w:p>
        </w:tc>
        <w:tc>
          <w:tcPr>
            <w:tcW w:w="898" w:type="dxa"/>
            <w:vAlign w:val="center"/>
          </w:tcPr>
          <w:p>
            <w:pPr>
              <w:jc w:val="center"/>
              <w:rPr>
                <w:rFonts w:ascii="仿宋_GB2312" w:hAnsi="仿宋" w:eastAsia="仿宋_GB2312" w:cs="仿宋"/>
                <w:b/>
                <w:color w:val="auto"/>
                <w:szCs w:val="21"/>
              </w:rPr>
            </w:pPr>
            <w:r>
              <w:rPr>
                <w:rFonts w:hint="eastAsia" w:ascii="仿宋_GB2312" w:hAnsi="仿宋" w:eastAsia="仿宋_GB2312" w:cs="仿宋"/>
                <w:b/>
                <w:color w:val="auto"/>
                <w:szCs w:val="21"/>
              </w:rPr>
              <w:t>实施</w:t>
            </w:r>
          </w:p>
          <w:p>
            <w:pPr>
              <w:jc w:val="center"/>
              <w:rPr>
                <w:rFonts w:ascii="仿宋_GB2312" w:hAnsi="仿宋" w:eastAsia="仿宋_GB2312" w:cs="仿宋"/>
                <w:b/>
                <w:color w:val="auto"/>
                <w:szCs w:val="21"/>
              </w:rPr>
            </w:pPr>
            <w:r>
              <w:rPr>
                <w:rFonts w:hint="eastAsia" w:ascii="仿宋_GB2312" w:hAnsi="仿宋" w:eastAsia="仿宋_GB2312" w:cs="仿宋"/>
                <w:b/>
                <w:color w:val="auto"/>
                <w:szCs w:val="21"/>
              </w:rPr>
              <w:t>部门</w:t>
            </w:r>
          </w:p>
        </w:tc>
        <w:tc>
          <w:tcPr>
            <w:tcW w:w="7700" w:type="dxa"/>
            <w:vAlign w:val="center"/>
          </w:tcPr>
          <w:p>
            <w:pPr>
              <w:jc w:val="center"/>
              <w:rPr>
                <w:rFonts w:ascii="仿宋_GB2312" w:hAnsi="仿宋" w:eastAsia="仿宋_GB2312" w:cs="仿宋"/>
                <w:b/>
                <w:color w:val="auto"/>
                <w:szCs w:val="21"/>
              </w:rPr>
            </w:pPr>
            <w:r>
              <w:rPr>
                <w:rFonts w:hint="eastAsia" w:ascii="仿宋_GB2312" w:hAnsi="仿宋" w:eastAsia="仿宋_GB2312" w:cs="仿宋"/>
                <w:b/>
                <w:color w:val="auto"/>
                <w:szCs w:val="21"/>
              </w:rPr>
              <w:t>职权依据</w:t>
            </w:r>
          </w:p>
        </w:tc>
        <w:tc>
          <w:tcPr>
            <w:tcW w:w="1039" w:type="dxa"/>
            <w:vAlign w:val="center"/>
          </w:tcPr>
          <w:p>
            <w:pPr>
              <w:jc w:val="center"/>
              <w:rPr>
                <w:rFonts w:ascii="仿宋_GB2312" w:hAnsi="仿宋" w:eastAsia="仿宋_GB2312" w:cs="仿宋"/>
                <w:b/>
                <w:color w:val="auto"/>
                <w:szCs w:val="21"/>
              </w:rPr>
            </w:pPr>
            <w:r>
              <w:rPr>
                <w:rFonts w:hint="eastAsia" w:ascii="仿宋_GB2312" w:hAnsi="仿宋" w:eastAsia="仿宋_GB2312" w:cs="仿宋"/>
                <w:b/>
                <w:color w:val="auto"/>
                <w:szCs w:val="21"/>
              </w:rPr>
              <w:t>行使</w:t>
            </w:r>
          </w:p>
          <w:p>
            <w:pPr>
              <w:jc w:val="center"/>
              <w:rPr>
                <w:rFonts w:ascii="仿宋_GB2312" w:hAnsi="仿宋" w:eastAsia="仿宋_GB2312" w:cs="仿宋"/>
                <w:b/>
                <w:color w:val="auto"/>
                <w:szCs w:val="21"/>
              </w:rPr>
            </w:pPr>
            <w:r>
              <w:rPr>
                <w:rFonts w:hint="eastAsia" w:ascii="仿宋_GB2312" w:hAnsi="仿宋" w:eastAsia="仿宋_GB2312" w:cs="仿宋"/>
                <w:b/>
                <w:color w:val="auto"/>
                <w:szCs w:val="21"/>
              </w:rPr>
              <w:t>层级</w:t>
            </w:r>
          </w:p>
        </w:tc>
        <w:tc>
          <w:tcPr>
            <w:tcW w:w="2181" w:type="dxa"/>
            <w:vAlign w:val="center"/>
          </w:tcPr>
          <w:p>
            <w:pPr>
              <w:jc w:val="center"/>
              <w:rPr>
                <w:rFonts w:ascii="仿宋_GB2312" w:hAnsi="仿宋" w:eastAsia="仿宋_GB2312" w:cs="仿宋"/>
                <w:b/>
                <w:color w:val="auto"/>
                <w:szCs w:val="21"/>
              </w:rPr>
            </w:pPr>
            <w:r>
              <w:rPr>
                <w:rFonts w:hint="eastAsia" w:ascii="仿宋_GB2312" w:hAnsi="仿宋" w:eastAsia="仿宋_GB2312" w:cs="仿宋"/>
                <w:b/>
                <w:color w:val="auto"/>
                <w:szCs w:val="21"/>
              </w:rPr>
              <w:t>行使内容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2" w:hRule="atLeast"/>
          <w:jc w:val="center"/>
        </w:trPr>
        <w:tc>
          <w:tcPr>
            <w:tcW w:w="853" w:type="dxa"/>
            <w:vMerge w:val="restart"/>
            <w:vAlign w:val="center"/>
          </w:tcPr>
          <w:p>
            <w:pPr>
              <w:jc w:val="center"/>
              <w:rPr>
                <w:rFonts w:ascii="仿宋_GB2312" w:hAnsi="仿宋" w:eastAsia="仿宋_GB2312" w:cs="仿宋"/>
                <w:color w:val="auto"/>
                <w:szCs w:val="21"/>
              </w:rPr>
            </w:pPr>
            <w:r>
              <w:rPr>
                <w:rFonts w:ascii="仿宋_GB2312" w:hAnsi="仿宋" w:eastAsia="仿宋_GB2312" w:cs="仿宋"/>
                <w:color w:val="auto"/>
                <w:szCs w:val="21"/>
              </w:rPr>
              <w:t>1</w:t>
            </w:r>
          </w:p>
        </w:tc>
        <w:tc>
          <w:tcPr>
            <w:tcW w:w="1011" w:type="dxa"/>
            <w:vMerge w:val="restart"/>
            <w:vAlign w:val="center"/>
          </w:tcPr>
          <w:p>
            <w:pPr>
              <w:rPr>
                <w:rFonts w:ascii="仿宋_GB2312" w:hAnsi="仿宋" w:eastAsia="仿宋_GB2312" w:cs="仿宋"/>
                <w:color w:val="auto"/>
                <w:szCs w:val="21"/>
              </w:rPr>
            </w:pPr>
            <w:r>
              <w:rPr>
                <w:rFonts w:hint="eastAsia" w:ascii="仿宋_GB2312" w:hAnsi="仿宋" w:eastAsia="仿宋_GB2312" w:cs="仿宋"/>
                <w:color w:val="auto"/>
                <w:szCs w:val="21"/>
              </w:rPr>
              <w:t>法律援助办案人员办案补贴的审核发放</w:t>
            </w:r>
          </w:p>
        </w:tc>
        <w:tc>
          <w:tcPr>
            <w:tcW w:w="833" w:type="dxa"/>
            <w:vMerge w:val="restart"/>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0509001000</w:t>
            </w:r>
          </w:p>
        </w:tc>
        <w:tc>
          <w:tcPr>
            <w:tcW w:w="898" w:type="dxa"/>
            <w:vMerge w:val="restart"/>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法律援助中心</w:t>
            </w:r>
          </w:p>
        </w:tc>
        <w:tc>
          <w:tcPr>
            <w:tcW w:w="7700" w:type="dxa"/>
            <w:vMerge w:val="restart"/>
          </w:tcPr>
          <w:p>
            <w:pPr>
              <w:ind w:firstLine="420" w:firstLineChars="200"/>
              <w:jc w:val="left"/>
              <w:rPr>
                <w:rFonts w:hint="eastAsia" w:ascii="仿宋_GB2312" w:hAnsi="仿宋" w:eastAsia="仿宋_GB2312" w:cs="仿宋"/>
                <w:color w:val="auto"/>
                <w:szCs w:val="21"/>
              </w:rPr>
            </w:pPr>
          </w:p>
          <w:p>
            <w:pPr>
              <w:ind w:firstLine="420" w:firstLineChars="200"/>
              <w:jc w:val="left"/>
              <w:rPr>
                <w:rFonts w:ascii="仿宋_GB2312" w:hAnsi="仿宋" w:eastAsia="仿宋_GB2312" w:cs="仿宋"/>
                <w:color w:val="auto"/>
                <w:szCs w:val="21"/>
              </w:rPr>
            </w:pPr>
            <w:r>
              <w:rPr>
                <w:rFonts w:hint="eastAsia" w:ascii="仿宋_GB2312" w:hAnsi="仿宋" w:eastAsia="仿宋_GB2312" w:cs="仿宋"/>
                <w:color w:val="auto"/>
                <w:szCs w:val="21"/>
              </w:rPr>
              <w:t>【行政法规】《法律援助条例》（2003年国务院令第385号）</w:t>
            </w:r>
          </w:p>
          <w:p>
            <w:pPr>
              <w:ind w:firstLine="420" w:firstLineChars="200"/>
              <w:jc w:val="left"/>
              <w:rPr>
                <w:rFonts w:ascii="仿宋_GB2312" w:hAnsi="仿宋" w:eastAsia="仿宋_GB2312" w:cs="仿宋"/>
                <w:color w:val="auto"/>
                <w:szCs w:val="21"/>
              </w:rPr>
            </w:pPr>
            <w:r>
              <w:rPr>
                <w:rFonts w:hint="eastAsia" w:ascii="仿宋_GB2312" w:hAnsi="仿宋" w:eastAsia="仿宋_GB2312" w:cs="仿宋"/>
                <w:color w:val="auto"/>
                <w:szCs w:val="21"/>
              </w:rPr>
              <w:t>第二十四条 受指派办理法律援助案件的律师或者接受安排办理法律援助案件的社会组织人员在案件结案时，应当向法律援助机构提交有关的法律文书副本或者复印件以及结案报告等材料。</w:t>
            </w:r>
          </w:p>
          <w:p>
            <w:pPr>
              <w:ind w:firstLine="420" w:firstLineChars="200"/>
              <w:jc w:val="left"/>
              <w:rPr>
                <w:rFonts w:ascii="仿宋_GB2312" w:hAnsi="仿宋" w:eastAsia="仿宋_GB2312" w:cs="仿宋"/>
                <w:color w:val="auto"/>
                <w:szCs w:val="21"/>
              </w:rPr>
            </w:pPr>
            <w:r>
              <w:rPr>
                <w:rFonts w:hint="eastAsia" w:ascii="仿宋_GB2312" w:hAnsi="仿宋" w:eastAsia="仿宋_GB2312" w:cs="仿宋"/>
                <w:color w:val="auto"/>
                <w:szCs w:val="21"/>
              </w:rPr>
              <w:t>法律援助机构收到前款规定的结案材料后，应当向受指派办理法律援助案件的律师或者接受安排办理法律援助案件的社会组织人员支付法律援助办案补贴。</w:t>
            </w:r>
          </w:p>
          <w:p>
            <w:pPr>
              <w:ind w:firstLine="420" w:firstLineChars="200"/>
              <w:jc w:val="left"/>
              <w:rPr>
                <w:rFonts w:ascii="仿宋_GB2312" w:hAnsi="仿宋" w:eastAsia="仿宋_GB2312" w:cs="仿宋"/>
                <w:color w:val="auto"/>
                <w:szCs w:val="21"/>
              </w:rPr>
            </w:pPr>
            <w:r>
              <w:rPr>
                <w:rFonts w:hint="eastAsia" w:ascii="仿宋_GB2312" w:hAnsi="仿宋" w:eastAsia="仿宋_GB2312" w:cs="仿宋"/>
                <w:color w:val="auto"/>
                <w:szCs w:val="21"/>
              </w:rPr>
              <w:t>法律援助办案补贴的标准由省、自治区、直辖市人民政府司法行政部门会同同级财政部门，根据当地经济发展水平，参考法律援助机构办理各类法律援助案件的平均成本等因素核定，并可以根据需要调整。</w:t>
            </w:r>
          </w:p>
        </w:tc>
        <w:tc>
          <w:tcPr>
            <w:tcW w:w="1039" w:type="dxa"/>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自治区</w:t>
            </w:r>
          </w:p>
        </w:tc>
        <w:tc>
          <w:tcPr>
            <w:tcW w:w="2181" w:type="dxa"/>
            <w:vAlign w:val="center"/>
          </w:tcPr>
          <w:p>
            <w:pPr>
              <w:jc w:val="left"/>
              <w:rPr>
                <w:rFonts w:ascii="仿宋_GB2312" w:hAnsi="仿宋" w:eastAsia="仿宋_GB2312" w:cs="仿宋"/>
                <w:color w:val="auto"/>
                <w:szCs w:val="21"/>
              </w:rPr>
            </w:pPr>
            <w:r>
              <w:rPr>
                <w:rFonts w:hint="eastAsia" w:ascii="仿宋_GB2312" w:hAnsi="仿宋" w:eastAsia="仿宋_GB2312" w:cs="仿宋"/>
                <w:color w:val="auto"/>
                <w:szCs w:val="21"/>
              </w:rPr>
              <w:t>对本级办案人员办案补贴的审核发放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1" w:hRule="atLeast"/>
          <w:jc w:val="center"/>
        </w:trPr>
        <w:tc>
          <w:tcPr>
            <w:tcW w:w="853" w:type="dxa"/>
            <w:vMerge w:val="continue"/>
            <w:vAlign w:val="center"/>
          </w:tcPr>
          <w:p>
            <w:pPr>
              <w:jc w:val="center"/>
              <w:rPr>
                <w:rFonts w:ascii="仿宋_GB2312" w:hAnsi="仿宋" w:eastAsia="仿宋_GB2312" w:cs="仿宋"/>
                <w:color w:val="auto"/>
                <w:szCs w:val="21"/>
              </w:rPr>
            </w:pPr>
          </w:p>
        </w:tc>
        <w:tc>
          <w:tcPr>
            <w:tcW w:w="1011" w:type="dxa"/>
            <w:vMerge w:val="continue"/>
          </w:tcPr>
          <w:p>
            <w:pPr>
              <w:rPr>
                <w:rFonts w:ascii="仿宋_GB2312" w:hAnsi="仿宋" w:eastAsia="仿宋_GB2312" w:cs="仿宋"/>
                <w:color w:val="auto"/>
                <w:szCs w:val="21"/>
              </w:rPr>
            </w:pPr>
          </w:p>
        </w:tc>
        <w:tc>
          <w:tcPr>
            <w:tcW w:w="833" w:type="dxa"/>
            <w:vMerge w:val="continue"/>
          </w:tcPr>
          <w:p>
            <w:pPr>
              <w:jc w:val="left"/>
              <w:rPr>
                <w:rFonts w:ascii="仿宋_GB2312" w:hAnsi="仿宋" w:eastAsia="仿宋_GB2312" w:cs="仿宋"/>
                <w:color w:val="auto"/>
                <w:szCs w:val="21"/>
              </w:rPr>
            </w:pPr>
          </w:p>
        </w:tc>
        <w:tc>
          <w:tcPr>
            <w:tcW w:w="898" w:type="dxa"/>
            <w:vMerge w:val="continue"/>
          </w:tcPr>
          <w:p>
            <w:pPr>
              <w:jc w:val="left"/>
              <w:rPr>
                <w:rFonts w:ascii="仿宋_GB2312" w:hAnsi="仿宋" w:eastAsia="仿宋_GB2312" w:cs="仿宋"/>
                <w:color w:val="auto"/>
                <w:szCs w:val="21"/>
              </w:rPr>
            </w:pPr>
          </w:p>
        </w:tc>
        <w:tc>
          <w:tcPr>
            <w:tcW w:w="7700" w:type="dxa"/>
            <w:vMerge w:val="continue"/>
          </w:tcPr>
          <w:p>
            <w:pPr>
              <w:jc w:val="left"/>
              <w:rPr>
                <w:rFonts w:ascii="仿宋_GB2312" w:hAnsi="仿宋" w:eastAsia="仿宋_GB2312" w:cs="仿宋"/>
                <w:color w:val="auto"/>
                <w:szCs w:val="21"/>
              </w:rPr>
            </w:pPr>
          </w:p>
        </w:tc>
        <w:tc>
          <w:tcPr>
            <w:tcW w:w="1039" w:type="dxa"/>
            <w:vAlign w:val="center"/>
          </w:tcPr>
          <w:p>
            <w:pPr>
              <w:jc w:val="center"/>
              <w:rPr>
                <w:rFonts w:hint="eastAsia" w:ascii="仿宋_GB2312" w:hAnsi="仿宋" w:eastAsia="仿宋_GB2312" w:cs="仿宋"/>
                <w:color w:val="auto"/>
                <w:szCs w:val="21"/>
              </w:rPr>
            </w:pPr>
            <w:r>
              <w:rPr>
                <w:rFonts w:hint="eastAsia" w:ascii="仿宋_GB2312" w:hAnsi="仿宋" w:eastAsia="仿宋_GB2312" w:cs="仿宋"/>
                <w:color w:val="auto"/>
                <w:szCs w:val="21"/>
              </w:rPr>
              <w:t>设区</w:t>
            </w:r>
          </w:p>
          <w:p>
            <w:pPr>
              <w:jc w:val="center"/>
              <w:rPr>
                <w:rFonts w:ascii="仿宋_GB2312" w:hAnsi="仿宋" w:eastAsia="仿宋_GB2312" w:cs="仿宋"/>
                <w:color w:val="auto"/>
                <w:szCs w:val="21"/>
              </w:rPr>
            </w:pPr>
            <w:r>
              <w:rPr>
                <w:rFonts w:hint="eastAsia" w:ascii="仿宋_GB2312" w:hAnsi="仿宋" w:eastAsia="仿宋_GB2312" w:cs="仿宋"/>
                <w:color w:val="auto"/>
                <w:szCs w:val="21"/>
              </w:rPr>
              <w:t>的市</w:t>
            </w:r>
          </w:p>
        </w:tc>
        <w:tc>
          <w:tcPr>
            <w:tcW w:w="2181" w:type="dxa"/>
            <w:vAlign w:val="center"/>
          </w:tcPr>
          <w:p>
            <w:pPr>
              <w:jc w:val="left"/>
              <w:rPr>
                <w:rFonts w:ascii="仿宋_GB2312" w:hAnsi="仿宋" w:eastAsia="仿宋_GB2312" w:cs="仿宋"/>
                <w:color w:val="auto"/>
                <w:szCs w:val="21"/>
              </w:rPr>
            </w:pPr>
            <w:r>
              <w:rPr>
                <w:rFonts w:hint="eastAsia" w:ascii="仿宋_GB2312" w:hAnsi="仿宋" w:eastAsia="仿宋_GB2312" w:cs="仿宋"/>
                <w:color w:val="auto"/>
                <w:szCs w:val="21"/>
              </w:rPr>
              <w:t>对本级办案人员办案补贴的审核发放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0" w:hRule="atLeast"/>
          <w:jc w:val="center"/>
        </w:trPr>
        <w:tc>
          <w:tcPr>
            <w:tcW w:w="853" w:type="dxa"/>
            <w:vMerge w:val="continue"/>
            <w:vAlign w:val="center"/>
          </w:tcPr>
          <w:p>
            <w:pPr>
              <w:jc w:val="center"/>
              <w:rPr>
                <w:rFonts w:ascii="仿宋_GB2312" w:hAnsi="仿宋" w:eastAsia="仿宋_GB2312" w:cs="仿宋"/>
                <w:color w:val="auto"/>
                <w:szCs w:val="21"/>
              </w:rPr>
            </w:pPr>
          </w:p>
        </w:tc>
        <w:tc>
          <w:tcPr>
            <w:tcW w:w="1011" w:type="dxa"/>
            <w:vMerge w:val="continue"/>
          </w:tcPr>
          <w:p>
            <w:pPr>
              <w:rPr>
                <w:rFonts w:ascii="仿宋_GB2312" w:hAnsi="仿宋" w:eastAsia="仿宋_GB2312" w:cs="仿宋"/>
                <w:color w:val="auto"/>
                <w:szCs w:val="21"/>
              </w:rPr>
            </w:pPr>
          </w:p>
        </w:tc>
        <w:tc>
          <w:tcPr>
            <w:tcW w:w="833" w:type="dxa"/>
            <w:vMerge w:val="continue"/>
          </w:tcPr>
          <w:p>
            <w:pPr>
              <w:jc w:val="left"/>
              <w:rPr>
                <w:rFonts w:ascii="仿宋_GB2312" w:hAnsi="仿宋" w:eastAsia="仿宋_GB2312" w:cs="仿宋"/>
                <w:color w:val="auto"/>
                <w:szCs w:val="21"/>
              </w:rPr>
            </w:pPr>
          </w:p>
        </w:tc>
        <w:tc>
          <w:tcPr>
            <w:tcW w:w="898" w:type="dxa"/>
            <w:vMerge w:val="continue"/>
          </w:tcPr>
          <w:p>
            <w:pPr>
              <w:jc w:val="left"/>
              <w:rPr>
                <w:rFonts w:ascii="仿宋_GB2312" w:hAnsi="仿宋" w:eastAsia="仿宋_GB2312" w:cs="仿宋"/>
                <w:color w:val="auto"/>
                <w:szCs w:val="21"/>
              </w:rPr>
            </w:pPr>
          </w:p>
        </w:tc>
        <w:tc>
          <w:tcPr>
            <w:tcW w:w="7700" w:type="dxa"/>
            <w:vMerge w:val="continue"/>
          </w:tcPr>
          <w:p>
            <w:pPr>
              <w:jc w:val="left"/>
              <w:rPr>
                <w:rFonts w:ascii="仿宋_GB2312" w:hAnsi="仿宋" w:eastAsia="仿宋_GB2312" w:cs="仿宋"/>
                <w:color w:val="auto"/>
                <w:szCs w:val="21"/>
              </w:rPr>
            </w:pPr>
          </w:p>
        </w:tc>
        <w:tc>
          <w:tcPr>
            <w:tcW w:w="1039" w:type="dxa"/>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县级</w:t>
            </w:r>
          </w:p>
        </w:tc>
        <w:tc>
          <w:tcPr>
            <w:tcW w:w="2181" w:type="dxa"/>
            <w:vAlign w:val="center"/>
          </w:tcPr>
          <w:p>
            <w:pPr>
              <w:jc w:val="left"/>
              <w:rPr>
                <w:rFonts w:ascii="仿宋_GB2312" w:hAnsi="仿宋" w:eastAsia="仿宋_GB2312" w:cs="仿宋"/>
                <w:color w:val="auto"/>
                <w:szCs w:val="21"/>
              </w:rPr>
            </w:pPr>
            <w:r>
              <w:rPr>
                <w:rFonts w:hint="eastAsia" w:ascii="仿宋_GB2312" w:hAnsi="仿宋" w:eastAsia="仿宋_GB2312" w:cs="仿宋"/>
                <w:color w:val="auto"/>
                <w:szCs w:val="21"/>
              </w:rPr>
              <w:t>对本级办案人员办案补贴的审核发放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853" w:type="dxa"/>
            <w:vMerge w:val="restart"/>
            <w:vAlign w:val="center"/>
          </w:tcPr>
          <w:p>
            <w:pPr>
              <w:jc w:val="center"/>
              <w:rPr>
                <w:rFonts w:ascii="仿宋_GB2312" w:hAnsi="仿宋" w:eastAsia="仿宋_GB2312" w:cs="仿宋"/>
                <w:color w:val="auto"/>
                <w:szCs w:val="21"/>
              </w:rPr>
            </w:pPr>
            <w:r>
              <w:rPr>
                <w:rFonts w:ascii="仿宋_GB2312" w:hAnsi="仿宋" w:eastAsia="仿宋_GB2312" w:cs="仿宋"/>
                <w:color w:val="auto"/>
                <w:szCs w:val="21"/>
              </w:rPr>
              <w:t>2</w:t>
            </w:r>
          </w:p>
        </w:tc>
        <w:tc>
          <w:tcPr>
            <w:tcW w:w="1011" w:type="dxa"/>
            <w:vMerge w:val="restart"/>
            <w:vAlign w:val="center"/>
          </w:tcPr>
          <w:p>
            <w:pPr>
              <w:jc w:val="center"/>
              <w:rPr>
                <w:rFonts w:hint="eastAsia" w:ascii="仿宋_GB2312" w:hAnsi="仿宋" w:eastAsia="仿宋_GB2312" w:cs="仿宋"/>
                <w:color w:val="auto"/>
                <w:szCs w:val="21"/>
              </w:rPr>
            </w:pPr>
            <w:r>
              <w:rPr>
                <w:rFonts w:hint="eastAsia" w:ascii="仿宋_GB2312" w:hAnsi="仿宋" w:eastAsia="仿宋_GB2312" w:cs="仿宋"/>
                <w:color w:val="auto"/>
                <w:szCs w:val="21"/>
              </w:rPr>
              <w:t>法律</w:t>
            </w:r>
          </w:p>
          <w:p>
            <w:pPr>
              <w:jc w:val="center"/>
              <w:rPr>
                <w:rFonts w:ascii="仿宋_GB2312" w:hAnsi="仿宋" w:eastAsia="仿宋_GB2312" w:cs="仿宋"/>
                <w:color w:val="auto"/>
                <w:szCs w:val="21"/>
              </w:rPr>
            </w:pPr>
            <w:r>
              <w:rPr>
                <w:rFonts w:hint="eastAsia" w:ascii="仿宋_GB2312" w:hAnsi="仿宋" w:eastAsia="仿宋_GB2312" w:cs="仿宋"/>
                <w:color w:val="auto"/>
                <w:szCs w:val="21"/>
              </w:rPr>
              <w:t>援助</w:t>
            </w:r>
          </w:p>
        </w:tc>
        <w:tc>
          <w:tcPr>
            <w:tcW w:w="833" w:type="dxa"/>
            <w:vMerge w:val="restart"/>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0509002000</w:t>
            </w:r>
          </w:p>
        </w:tc>
        <w:tc>
          <w:tcPr>
            <w:tcW w:w="898" w:type="dxa"/>
            <w:vMerge w:val="restart"/>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法律援助中心</w:t>
            </w:r>
          </w:p>
        </w:tc>
        <w:tc>
          <w:tcPr>
            <w:tcW w:w="7700" w:type="dxa"/>
            <w:vMerge w:val="restart"/>
          </w:tcPr>
          <w:p>
            <w:pPr>
              <w:ind w:firstLine="420" w:firstLineChars="200"/>
              <w:jc w:val="left"/>
              <w:rPr>
                <w:rFonts w:hint="eastAsia" w:ascii="仿宋_GB2312" w:hAnsi="仿宋" w:eastAsia="仿宋_GB2312" w:cs="仿宋"/>
                <w:color w:val="auto"/>
                <w:szCs w:val="21"/>
              </w:rPr>
            </w:pPr>
          </w:p>
          <w:p>
            <w:pPr>
              <w:ind w:firstLine="420" w:firstLineChars="200"/>
              <w:jc w:val="left"/>
              <w:rPr>
                <w:rFonts w:ascii="仿宋_GB2312" w:hAnsi="仿宋" w:eastAsia="仿宋_GB2312" w:cs="仿宋"/>
                <w:color w:val="auto"/>
                <w:szCs w:val="21"/>
              </w:rPr>
            </w:pPr>
            <w:r>
              <w:rPr>
                <w:rFonts w:hint="eastAsia" w:ascii="仿宋_GB2312" w:hAnsi="仿宋" w:eastAsia="仿宋_GB2312" w:cs="仿宋"/>
                <w:color w:val="auto"/>
                <w:szCs w:val="21"/>
              </w:rPr>
              <w:t>【行政法规】《法律援助条例》（2003年国务院令第385号）</w:t>
            </w:r>
          </w:p>
          <w:p>
            <w:pPr>
              <w:ind w:firstLine="420" w:firstLineChars="200"/>
              <w:jc w:val="left"/>
              <w:rPr>
                <w:rFonts w:ascii="仿宋_GB2312" w:hAnsi="仿宋" w:eastAsia="仿宋_GB2312" w:cs="仿宋"/>
                <w:color w:val="auto"/>
                <w:szCs w:val="21"/>
              </w:rPr>
            </w:pPr>
            <w:r>
              <w:rPr>
                <w:rFonts w:hint="eastAsia" w:ascii="仿宋_GB2312" w:hAnsi="仿宋" w:eastAsia="仿宋_GB2312" w:cs="仿宋"/>
                <w:color w:val="auto"/>
                <w:szCs w:val="21"/>
              </w:rPr>
              <w:t>第十八条 法律援助机构收到法律援助申请后，应当进行审查；认为申请人提交的证件、证明材料不齐全的，可以要求申请人作出必要的补充或者说明，申请人未按要求作出补充或者说明的，视为撤销申请；认为申请人提交的证件、证明材料需要查证的，由</w:t>
            </w:r>
            <w:r>
              <w:rPr>
                <w:color w:val="auto"/>
              </w:rPr>
              <w:fldChar w:fldCharType="begin"/>
            </w:r>
            <w:r>
              <w:rPr>
                <w:color w:val="auto"/>
              </w:rPr>
              <w:instrText xml:space="preserve"> HYPERLINK "https://baike.baidu.com/item/%E6%B3%95%E5%BE%8B%E6%8F%B4%E5%8A%A9/310728" \t "https://baike.baidu.com/item/%E6%B3%95%E5%BE%8B%E6%8F%B4%E5%8A%A9%E7%9A%84%E8%8C%83%E5%9B%B4/_blank" </w:instrText>
            </w:r>
            <w:r>
              <w:rPr>
                <w:color w:val="auto"/>
              </w:rPr>
              <w:fldChar w:fldCharType="separate"/>
            </w:r>
            <w:r>
              <w:rPr>
                <w:rFonts w:hint="eastAsia" w:ascii="仿宋_GB2312" w:hAnsi="仿宋" w:eastAsia="仿宋_GB2312" w:cs="仿宋"/>
                <w:color w:val="auto"/>
                <w:szCs w:val="21"/>
              </w:rPr>
              <w:t>法律援助</w:t>
            </w:r>
            <w:r>
              <w:rPr>
                <w:rFonts w:hint="eastAsia" w:ascii="仿宋_GB2312" w:hAnsi="仿宋" w:eastAsia="仿宋_GB2312" w:cs="仿宋"/>
                <w:color w:val="auto"/>
                <w:szCs w:val="21"/>
              </w:rPr>
              <w:fldChar w:fldCharType="end"/>
            </w:r>
            <w:r>
              <w:rPr>
                <w:rFonts w:hint="eastAsia" w:ascii="仿宋_GB2312" w:hAnsi="仿宋" w:eastAsia="仿宋_GB2312" w:cs="仿宋"/>
                <w:color w:val="auto"/>
                <w:szCs w:val="21"/>
              </w:rPr>
              <w:t>机构向有关机关、单位查证。</w:t>
            </w:r>
          </w:p>
          <w:p>
            <w:pPr>
              <w:ind w:firstLine="420" w:firstLineChars="200"/>
              <w:jc w:val="left"/>
              <w:rPr>
                <w:rFonts w:ascii="仿宋_GB2312" w:hAnsi="仿宋" w:eastAsia="仿宋_GB2312" w:cs="仿宋"/>
                <w:color w:val="auto"/>
                <w:szCs w:val="21"/>
              </w:rPr>
            </w:pPr>
            <w:r>
              <w:rPr>
                <w:rFonts w:hint="eastAsia" w:ascii="仿宋_GB2312" w:hAnsi="仿宋" w:eastAsia="仿宋_GB2312" w:cs="仿宋"/>
                <w:color w:val="auto"/>
                <w:szCs w:val="21"/>
              </w:rPr>
              <w:t>对符合法律援助条件的，法律援助机构应当及时决定提供法律援助；对不符合法律援助条件的，应当书面告知申请人理由。</w:t>
            </w:r>
          </w:p>
        </w:tc>
        <w:tc>
          <w:tcPr>
            <w:tcW w:w="1039" w:type="dxa"/>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自治区</w:t>
            </w:r>
          </w:p>
        </w:tc>
        <w:tc>
          <w:tcPr>
            <w:tcW w:w="2181" w:type="dxa"/>
            <w:vAlign w:val="center"/>
          </w:tcPr>
          <w:p>
            <w:pPr>
              <w:jc w:val="center"/>
              <w:rPr>
                <w:rFonts w:hint="eastAsia" w:ascii="仿宋_GB2312" w:hAnsi="仿宋" w:eastAsia="仿宋_GB2312" w:cs="仿宋"/>
                <w:color w:val="auto"/>
                <w:szCs w:val="21"/>
              </w:rPr>
            </w:pPr>
            <w:r>
              <w:rPr>
                <w:rFonts w:hint="eastAsia" w:ascii="仿宋_GB2312" w:hAnsi="仿宋" w:eastAsia="仿宋_GB2312" w:cs="仿宋"/>
                <w:color w:val="auto"/>
                <w:szCs w:val="21"/>
              </w:rPr>
              <w:t>提供法律援助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2" w:hRule="atLeast"/>
          <w:jc w:val="center"/>
        </w:trPr>
        <w:tc>
          <w:tcPr>
            <w:tcW w:w="853" w:type="dxa"/>
            <w:vMerge w:val="continue"/>
          </w:tcPr>
          <w:p>
            <w:pPr>
              <w:jc w:val="left"/>
              <w:rPr>
                <w:rFonts w:ascii="仿宋_GB2312" w:eastAsia="仿宋_GB2312"/>
                <w:color w:val="auto"/>
                <w:szCs w:val="21"/>
              </w:rPr>
            </w:pPr>
          </w:p>
        </w:tc>
        <w:tc>
          <w:tcPr>
            <w:tcW w:w="1011" w:type="dxa"/>
            <w:vMerge w:val="continue"/>
          </w:tcPr>
          <w:p>
            <w:pPr>
              <w:jc w:val="left"/>
              <w:rPr>
                <w:rFonts w:ascii="仿宋_GB2312" w:eastAsia="仿宋_GB2312"/>
                <w:color w:val="auto"/>
                <w:szCs w:val="21"/>
              </w:rPr>
            </w:pPr>
          </w:p>
        </w:tc>
        <w:tc>
          <w:tcPr>
            <w:tcW w:w="833" w:type="dxa"/>
            <w:vMerge w:val="continue"/>
          </w:tcPr>
          <w:p>
            <w:pPr>
              <w:jc w:val="left"/>
              <w:rPr>
                <w:rFonts w:ascii="仿宋_GB2312" w:eastAsia="仿宋_GB2312"/>
                <w:color w:val="auto"/>
                <w:szCs w:val="21"/>
              </w:rPr>
            </w:pPr>
          </w:p>
        </w:tc>
        <w:tc>
          <w:tcPr>
            <w:tcW w:w="898" w:type="dxa"/>
            <w:vMerge w:val="continue"/>
          </w:tcPr>
          <w:p>
            <w:pPr>
              <w:jc w:val="left"/>
              <w:rPr>
                <w:rFonts w:ascii="仿宋_GB2312" w:eastAsia="仿宋_GB2312"/>
                <w:color w:val="auto"/>
                <w:szCs w:val="21"/>
              </w:rPr>
            </w:pPr>
          </w:p>
        </w:tc>
        <w:tc>
          <w:tcPr>
            <w:tcW w:w="7700" w:type="dxa"/>
            <w:vMerge w:val="continue"/>
          </w:tcPr>
          <w:p>
            <w:pPr>
              <w:jc w:val="left"/>
              <w:rPr>
                <w:rFonts w:ascii="仿宋_GB2312" w:eastAsia="仿宋_GB2312"/>
                <w:color w:val="auto"/>
                <w:szCs w:val="21"/>
              </w:rPr>
            </w:pPr>
          </w:p>
        </w:tc>
        <w:tc>
          <w:tcPr>
            <w:tcW w:w="1039" w:type="dxa"/>
            <w:vAlign w:val="center"/>
          </w:tcPr>
          <w:p>
            <w:pPr>
              <w:jc w:val="center"/>
              <w:rPr>
                <w:rFonts w:hint="eastAsia" w:ascii="仿宋_GB2312" w:hAnsi="仿宋" w:eastAsia="仿宋_GB2312" w:cs="仿宋"/>
                <w:color w:val="auto"/>
                <w:szCs w:val="21"/>
              </w:rPr>
            </w:pPr>
            <w:r>
              <w:rPr>
                <w:rFonts w:hint="eastAsia" w:ascii="仿宋_GB2312" w:hAnsi="仿宋" w:eastAsia="仿宋_GB2312" w:cs="仿宋"/>
                <w:color w:val="auto"/>
                <w:szCs w:val="21"/>
              </w:rPr>
              <w:t>设区</w:t>
            </w:r>
          </w:p>
          <w:p>
            <w:pPr>
              <w:jc w:val="center"/>
              <w:rPr>
                <w:rFonts w:ascii="仿宋_GB2312" w:hAnsi="仿宋" w:eastAsia="仿宋_GB2312" w:cs="仿宋"/>
                <w:color w:val="auto"/>
                <w:szCs w:val="21"/>
              </w:rPr>
            </w:pPr>
            <w:r>
              <w:rPr>
                <w:rFonts w:hint="eastAsia" w:ascii="仿宋_GB2312" w:hAnsi="仿宋" w:eastAsia="仿宋_GB2312" w:cs="仿宋"/>
                <w:color w:val="auto"/>
                <w:szCs w:val="21"/>
              </w:rPr>
              <w:t>的市</w:t>
            </w:r>
          </w:p>
        </w:tc>
        <w:tc>
          <w:tcPr>
            <w:tcW w:w="2181" w:type="dxa"/>
            <w:vAlign w:val="center"/>
          </w:tcPr>
          <w:p>
            <w:pPr>
              <w:jc w:val="center"/>
              <w:rPr>
                <w:rFonts w:hint="eastAsia" w:ascii="仿宋_GB2312" w:hAnsi="仿宋" w:eastAsia="仿宋_GB2312" w:cs="仿宋"/>
                <w:color w:val="auto"/>
                <w:szCs w:val="21"/>
              </w:rPr>
            </w:pPr>
            <w:r>
              <w:rPr>
                <w:rFonts w:hint="eastAsia" w:ascii="仿宋_GB2312" w:hAnsi="仿宋" w:eastAsia="仿宋_GB2312" w:cs="仿宋"/>
                <w:color w:val="auto"/>
                <w:szCs w:val="21"/>
              </w:rPr>
              <w:t>提供法律援助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853" w:type="dxa"/>
            <w:vMerge w:val="continue"/>
          </w:tcPr>
          <w:p>
            <w:pPr>
              <w:jc w:val="left"/>
              <w:rPr>
                <w:rFonts w:ascii="仿宋_GB2312" w:hAnsi="仿宋" w:eastAsia="仿宋_GB2312" w:cs="仿宋"/>
                <w:color w:val="auto"/>
                <w:szCs w:val="21"/>
              </w:rPr>
            </w:pPr>
          </w:p>
        </w:tc>
        <w:tc>
          <w:tcPr>
            <w:tcW w:w="1011" w:type="dxa"/>
            <w:vMerge w:val="continue"/>
          </w:tcPr>
          <w:p>
            <w:pPr>
              <w:jc w:val="left"/>
              <w:rPr>
                <w:rFonts w:ascii="仿宋_GB2312" w:hAnsi="仿宋" w:eastAsia="仿宋_GB2312" w:cs="仿宋"/>
                <w:color w:val="auto"/>
                <w:szCs w:val="21"/>
              </w:rPr>
            </w:pPr>
          </w:p>
        </w:tc>
        <w:tc>
          <w:tcPr>
            <w:tcW w:w="833" w:type="dxa"/>
            <w:vMerge w:val="continue"/>
          </w:tcPr>
          <w:p>
            <w:pPr>
              <w:jc w:val="left"/>
              <w:rPr>
                <w:rFonts w:ascii="仿宋_GB2312" w:hAnsi="仿宋" w:eastAsia="仿宋_GB2312" w:cs="仿宋"/>
                <w:color w:val="auto"/>
                <w:szCs w:val="21"/>
              </w:rPr>
            </w:pPr>
          </w:p>
        </w:tc>
        <w:tc>
          <w:tcPr>
            <w:tcW w:w="898" w:type="dxa"/>
            <w:vMerge w:val="continue"/>
          </w:tcPr>
          <w:p>
            <w:pPr>
              <w:jc w:val="left"/>
              <w:rPr>
                <w:rFonts w:ascii="仿宋_GB2312" w:hAnsi="仿宋" w:eastAsia="仿宋_GB2312" w:cs="仿宋"/>
                <w:color w:val="auto"/>
                <w:szCs w:val="21"/>
              </w:rPr>
            </w:pPr>
          </w:p>
        </w:tc>
        <w:tc>
          <w:tcPr>
            <w:tcW w:w="7700" w:type="dxa"/>
            <w:vMerge w:val="continue"/>
          </w:tcPr>
          <w:p>
            <w:pPr>
              <w:jc w:val="left"/>
              <w:rPr>
                <w:rFonts w:ascii="仿宋_GB2312" w:hAnsi="仿宋" w:eastAsia="仿宋_GB2312" w:cs="仿宋"/>
                <w:color w:val="auto"/>
                <w:szCs w:val="21"/>
              </w:rPr>
            </w:pPr>
          </w:p>
        </w:tc>
        <w:tc>
          <w:tcPr>
            <w:tcW w:w="1039" w:type="dxa"/>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县级</w:t>
            </w:r>
          </w:p>
        </w:tc>
        <w:tc>
          <w:tcPr>
            <w:tcW w:w="2181" w:type="dxa"/>
            <w:vAlign w:val="center"/>
          </w:tcPr>
          <w:p>
            <w:pPr>
              <w:jc w:val="center"/>
              <w:rPr>
                <w:rFonts w:hint="eastAsia" w:ascii="仿宋_GB2312" w:hAnsi="仿宋" w:eastAsia="仿宋_GB2312" w:cs="仿宋"/>
                <w:color w:val="auto"/>
                <w:szCs w:val="21"/>
              </w:rPr>
            </w:pPr>
            <w:r>
              <w:rPr>
                <w:rFonts w:hint="eastAsia" w:ascii="仿宋_GB2312" w:hAnsi="仿宋" w:eastAsia="仿宋_GB2312" w:cs="仿宋"/>
                <w:color w:val="auto"/>
                <w:szCs w:val="21"/>
              </w:rPr>
              <w:t>提供法律援助</w:t>
            </w:r>
          </w:p>
        </w:tc>
      </w:tr>
    </w:tbl>
    <w:p>
      <w:pPr>
        <w:widowControl/>
        <w:jc w:val="left"/>
        <w:rPr>
          <w:rFonts w:ascii="仿宋" w:hAnsi="仿宋" w:eastAsia="仿宋" w:cs="仿宋"/>
          <w:color w:val="auto"/>
          <w:sz w:val="18"/>
          <w:szCs w:val="18"/>
        </w:rPr>
      </w:pPr>
      <w:r>
        <w:rPr>
          <w:rFonts w:ascii="仿宋" w:hAnsi="仿宋" w:eastAsia="仿宋" w:cs="仿宋"/>
          <w:color w:val="auto"/>
          <w:sz w:val="18"/>
          <w:szCs w:val="18"/>
        </w:rPr>
        <w:br w:type="page"/>
      </w:r>
    </w:p>
    <w:p>
      <w:pPr>
        <w:widowControl/>
        <w:jc w:val="center"/>
        <w:rPr>
          <w:rFonts w:ascii="楷体_GB2312" w:eastAsia="楷体_GB2312"/>
          <w:b/>
          <w:bCs/>
          <w:color w:val="auto"/>
          <w:sz w:val="32"/>
          <w:szCs w:val="32"/>
        </w:rPr>
      </w:pPr>
      <w:r>
        <w:rPr>
          <w:rFonts w:hint="eastAsia" w:ascii="楷体_GB2312" w:eastAsia="楷体_GB2312"/>
          <w:b/>
          <w:bCs/>
          <w:color w:val="auto"/>
          <w:sz w:val="32"/>
          <w:szCs w:val="32"/>
        </w:rPr>
        <w:t>五、行政检查</w:t>
      </w:r>
    </w:p>
    <w:tbl>
      <w:tblPr>
        <w:tblStyle w:val="21"/>
        <w:tblW w:w="145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148"/>
        <w:gridCol w:w="775"/>
        <w:gridCol w:w="823"/>
        <w:gridCol w:w="7412"/>
        <w:gridCol w:w="953"/>
        <w:gridCol w:w="2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14" w:type="dxa"/>
            <w:vAlign w:val="center"/>
          </w:tcPr>
          <w:p>
            <w:pPr>
              <w:jc w:val="center"/>
              <w:rPr>
                <w:rFonts w:hint="eastAsia" w:ascii="仿宋_GB2312" w:eastAsia="仿宋_GB2312" w:cs="仿宋_GB2312"/>
                <w:b/>
                <w:bCs/>
                <w:color w:val="auto"/>
                <w:szCs w:val="21"/>
              </w:rPr>
            </w:pPr>
            <w:r>
              <w:rPr>
                <w:rFonts w:hint="eastAsia" w:ascii="仿宋_GB2312" w:hAnsi="仿宋_GB2312" w:eastAsia="仿宋_GB2312" w:cs="仿宋_GB2312"/>
                <w:b/>
                <w:bCs/>
                <w:color w:val="auto"/>
                <w:szCs w:val="21"/>
              </w:rPr>
              <w:t>序号</w:t>
            </w:r>
          </w:p>
        </w:tc>
        <w:tc>
          <w:tcPr>
            <w:tcW w:w="1148" w:type="dxa"/>
            <w:vAlign w:val="center"/>
          </w:tcPr>
          <w:p>
            <w:pPr>
              <w:jc w:val="center"/>
              <w:rPr>
                <w:rFonts w:hint="eastAsia" w:ascii="仿宋_GB2312" w:eastAsia="仿宋_GB2312" w:cs="仿宋_GB2312"/>
                <w:b/>
                <w:bCs/>
                <w:color w:val="auto"/>
                <w:szCs w:val="21"/>
              </w:rPr>
            </w:pPr>
            <w:r>
              <w:rPr>
                <w:rFonts w:hint="eastAsia" w:ascii="仿宋_GB2312" w:hAnsi="仿宋_GB2312" w:eastAsia="仿宋_GB2312" w:cs="仿宋_GB2312"/>
                <w:b/>
                <w:bCs/>
                <w:color w:val="auto"/>
                <w:szCs w:val="21"/>
              </w:rPr>
              <w:t>职权名称</w:t>
            </w:r>
          </w:p>
        </w:tc>
        <w:tc>
          <w:tcPr>
            <w:tcW w:w="775" w:type="dxa"/>
            <w:vAlign w:val="center"/>
          </w:tcPr>
          <w:p>
            <w:pPr>
              <w:jc w:val="center"/>
              <w:rPr>
                <w:rFonts w:hint="eastAsia" w:ascii="仿宋_GB2312" w:eastAsia="仿宋_GB2312" w:cs="仿宋_GB2312"/>
                <w:b/>
                <w:bCs/>
                <w:color w:val="auto"/>
                <w:szCs w:val="21"/>
              </w:rPr>
            </w:pPr>
            <w:r>
              <w:rPr>
                <w:rFonts w:hint="eastAsia" w:ascii="仿宋_GB2312" w:hAnsi="仿宋_GB2312" w:eastAsia="仿宋_GB2312" w:cs="仿宋_GB2312"/>
                <w:b/>
                <w:bCs/>
                <w:color w:val="auto"/>
                <w:szCs w:val="21"/>
              </w:rPr>
              <w:t>基本编码</w:t>
            </w:r>
          </w:p>
        </w:tc>
        <w:tc>
          <w:tcPr>
            <w:tcW w:w="823" w:type="dxa"/>
            <w:vAlign w:val="center"/>
          </w:tcPr>
          <w:p>
            <w:pPr>
              <w:jc w:val="center"/>
              <w:rPr>
                <w:rFonts w:hint="eastAsia" w:ascii="仿宋_GB2312" w:eastAsia="仿宋_GB2312" w:cs="仿宋_GB2312"/>
                <w:b/>
                <w:bCs/>
                <w:color w:val="auto"/>
                <w:szCs w:val="21"/>
              </w:rPr>
            </w:pPr>
            <w:r>
              <w:rPr>
                <w:rFonts w:hint="eastAsia" w:ascii="仿宋_GB2312" w:hAnsi="仿宋_GB2312" w:eastAsia="仿宋_GB2312" w:cs="仿宋_GB2312"/>
                <w:b/>
                <w:bCs/>
                <w:color w:val="auto"/>
                <w:szCs w:val="21"/>
              </w:rPr>
              <w:t>实施</w:t>
            </w:r>
          </w:p>
          <w:p>
            <w:pPr>
              <w:jc w:val="center"/>
              <w:rPr>
                <w:rFonts w:hint="eastAsia" w:ascii="仿宋_GB2312" w:eastAsia="仿宋_GB2312" w:cs="仿宋_GB2312"/>
                <w:b/>
                <w:bCs/>
                <w:color w:val="auto"/>
                <w:szCs w:val="21"/>
              </w:rPr>
            </w:pPr>
            <w:r>
              <w:rPr>
                <w:rFonts w:hint="eastAsia" w:ascii="仿宋_GB2312" w:hAnsi="仿宋_GB2312" w:eastAsia="仿宋_GB2312" w:cs="仿宋_GB2312"/>
                <w:b/>
                <w:bCs/>
                <w:color w:val="auto"/>
                <w:szCs w:val="21"/>
              </w:rPr>
              <w:t>部门</w:t>
            </w:r>
          </w:p>
        </w:tc>
        <w:tc>
          <w:tcPr>
            <w:tcW w:w="7412" w:type="dxa"/>
            <w:vAlign w:val="center"/>
          </w:tcPr>
          <w:p>
            <w:pPr>
              <w:spacing w:line="270" w:lineRule="exact"/>
              <w:jc w:val="center"/>
              <w:rPr>
                <w:rFonts w:hint="eastAsia" w:ascii="仿宋_GB2312" w:eastAsia="仿宋_GB2312" w:cs="仿宋_GB2312"/>
                <w:b/>
                <w:bCs/>
                <w:color w:val="auto"/>
                <w:szCs w:val="21"/>
              </w:rPr>
            </w:pPr>
            <w:r>
              <w:rPr>
                <w:rFonts w:hint="eastAsia" w:ascii="仿宋_GB2312" w:hAnsi="仿宋_GB2312" w:eastAsia="仿宋_GB2312" w:cs="仿宋_GB2312"/>
                <w:b/>
                <w:bCs/>
                <w:color w:val="auto"/>
                <w:szCs w:val="21"/>
              </w:rPr>
              <w:t>职权依据</w:t>
            </w:r>
          </w:p>
        </w:tc>
        <w:tc>
          <w:tcPr>
            <w:tcW w:w="953" w:type="dxa"/>
            <w:vAlign w:val="center"/>
          </w:tcPr>
          <w:p>
            <w:pPr>
              <w:jc w:val="center"/>
              <w:rPr>
                <w:rFonts w:hint="eastAsia" w:ascii="仿宋_GB2312" w:eastAsia="仿宋_GB2312" w:cs="仿宋_GB2312"/>
                <w:b/>
                <w:bCs/>
                <w:color w:val="auto"/>
                <w:szCs w:val="21"/>
              </w:rPr>
            </w:pPr>
            <w:r>
              <w:rPr>
                <w:rFonts w:hint="eastAsia" w:ascii="仿宋_GB2312" w:hAnsi="仿宋_GB2312" w:eastAsia="仿宋_GB2312" w:cs="仿宋_GB2312"/>
                <w:b/>
                <w:bCs/>
                <w:color w:val="auto"/>
                <w:szCs w:val="21"/>
              </w:rPr>
              <w:t>行使</w:t>
            </w:r>
          </w:p>
          <w:p>
            <w:pPr>
              <w:jc w:val="center"/>
              <w:rPr>
                <w:rFonts w:hint="eastAsia" w:ascii="仿宋_GB2312" w:eastAsia="仿宋_GB2312" w:cs="仿宋_GB2312"/>
                <w:b/>
                <w:bCs/>
                <w:color w:val="auto"/>
                <w:szCs w:val="21"/>
              </w:rPr>
            </w:pPr>
            <w:r>
              <w:rPr>
                <w:rFonts w:hint="eastAsia" w:ascii="仿宋_GB2312" w:hAnsi="仿宋_GB2312" w:eastAsia="仿宋_GB2312" w:cs="仿宋_GB2312"/>
                <w:b/>
                <w:bCs/>
                <w:color w:val="auto"/>
                <w:szCs w:val="21"/>
              </w:rPr>
              <w:t>层级</w:t>
            </w:r>
          </w:p>
        </w:tc>
        <w:tc>
          <w:tcPr>
            <w:tcW w:w="2690" w:type="dxa"/>
            <w:vAlign w:val="center"/>
          </w:tcPr>
          <w:p>
            <w:pPr>
              <w:jc w:val="center"/>
              <w:rPr>
                <w:rFonts w:hint="eastAsia" w:ascii="仿宋_GB2312" w:eastAsia="仿宋_GB2312" w:cs="仿宋_GB2312"/>
                <w:b/>
                <w:bCs/>
                <w:color w:val="auto"/>
                <w:szCs w:val="21"/>
              </w:rPr>
            </w:pPr>
            <w:r>
              <w:rPr>
                <w:rFonts w:hint="eastAsia" w:ascii="仿宋_GB2312" w:hAnsi="仿宋_GB2312" w:eastAsia="仿宋_GB2312" w:cs="仿宋_GB2312"/>
                <w:b/>
                <w:bCs/>
                <w:color w:val="auto"/>
                <w:szCs w:val="21"/>
              </w:rPr>
              <w:t>行使内容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9" w:hRule="atLeast"/>
          <w:jc w:val="center"/>
        </w:trPr>
        <w:tc>
          <w:tcPr>
            <w:tcW w:w="714" w:type="dxa"/>
            <w:vMerge w:val="restart"/>
            <w:vAlign w:val="center"/>
          </w:tcPr>
          <w:p>
            <w:pPr>
              <w:spacing w:line="270" w:lineRule="exact"/>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1</w:t>
            </w:r>
          </w:p>
        </w:tc>
        <w:tc>
          <w:tcPr>
            <w:tcW w:w="1148" w:type="dxa"/>
            <w:vMerge w:val="restart"/>
            <w:vAlign w:val="center"/>
          </w:tcPr>
          <w:p>
            <w:pPr>
              <w:spacing w:line="270" w:lineRule="exact"/>
              <w:rPr>
                <w:rFonts w:hint="eastAsia" w:ascii="仿宋_GB2312" w:eastAsia="仿宋_GB2312" w:cs="仿宋_GB2312"/>
                <w:color w:val="auto"/>
                <w:szCs w:val="21"/>
              </w:rPr>
            </w:pPr>
            <w:r>
              <w:rPr>
                <w:rFonts w:hint="eastAsia" w:ascii="仿宋_GB2312" w:hAnsi="仿宋_GB2312" w:eastAsia="仿宋_GB2312" w:cs="仿宋_GB2312"/>
                <w:color w:val="auto"/>
                <w:szCs w:val="21"/>
              </w:rPr>
              <w:t>对法律援助工作的监督检查</w:t>
            </w:r>
          </w:p>
        </w:tc>
        <w:tc>
          <w:tcPr>
            <w:tcW w:w="775" w:type="dxa"/>
            <w:vMerge w:val="restart"/>
            <w:vAlign w:val="center"/>
          </w:tcPr>
          <w:p>
            <w:pPr>
              <w:spacing w:line="270" w:lineRule="exact"/>
              <w:rPr>
                <w:rFonts w:hint="eastAsia" w:ascii="仿宋_GB2312" w:eastAsia="仿宋_GB2312" w:cs="仿宋_GB2312"/>
                <w:color w:val="auto"/>
                <w:szCs w:val="21"/>
              </w:rPr>
            </w:pPr>
            <w:r>
              <w:rPr>
                <w:rFonts w:hint="eastAsia" w:ascii="仿宋_GB2312" w:eastAsia="仿宋_GB2312" w:cs="仿宋_GB2312"/>
                <w:color w:val="auto"/>
                <w:szCs w:val="21"/>
              </w:rPr>
              <w:t>0609001000</w:t>
            </w:r>
          </w:p>
        </w:tc>
        <w:tc>
          <w:tcPr>
            <w:tcW w:w="823" w:type="dxa"/>
            <w:vMerge w:val="restart"/>
            <w:vAlign w:val="center"/>
          </w:tcPr>
          <w:p>
            <w:pPr>
              <w:spacing w:line="270" w:lineRule="exact"/>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412" w:type="dxa"/>
            <w:vMerge w:val="restart"/>
            <w:vAlign w:val="center"/>
          </w:tcPr>
          <w:p>
            <w:pPr>
              <w:widowControl/>
              <w:spacing w:line="270" w:lineRule="exact"/>
              <w:ind w:firstLine="420" w:firstLineChars="200"/>
              <w:rPr>
                <w:rFonts w:hint="eastAsia" w:ascii="仿宋_GB2312" w:eastAsia="仿宋_GB2312" w:cs="仿宋_GB2312"/>
                <w:color w:val="auto"/>
                <w:kern w:val="0"/>
                <w:szCs w:val="21"/>
              </w:rPr>
            </w:pPr>
            <w:r>
              <w:rPr>
                <w:rFonts w:hint="eastAsia" w:ascii="仿宋_GB2312" w:hAnsi="仿宋_GB2312" w:eastAsia="仿宋_GB2312" w:cs="仿宋_GB2312"/>
                <w:color w:val="auto"/>
                <w:kern w:val="0"/>
                <w:szCs w:val="21"/>
              </w:rPr>
              <w:t>【地方性法规】《宁夏回族自治区法律援助条例》（2017年）</w:t>
            </w:r>
          </w:p>
          <w:p>
            <w:pPr>
              <w:spacing w:line="270" w:lineRule="exact"/>
              <w:ind w:firstLine="420" w:firstLineChars="200"/>
              <w:jc w:val="left"/>
              <w:rPr>
                <w:rFonts w:hint="eastAsia" w:ascii="仿宋_GB2312" w:eastAsia="仿宋_GB2312" w:cs="仿宋_GB2312"/>
                <w:color w:val="auto"/>
                <w:szCs w:val="21"/>
              </w:rPr>
            </w:pPr>
            <w:r>
              <w:rPr>
                <w:rFonts w:hint="eastAsia" w:ascii="仿宋_GB2312" w:hAnsi="仿宋_GB2312" w:eastAsia="仿宋_GB2312" w:cs="仿宋_GB2312"/>
                <w:color w:val="auto"/>
                <w:kern w:val="0"/>
                <w:szCs w:val="21"/>
              </w:rPr>
              <w:t>第五条 县级以上人民政府司法行政部门监督管理本行政区域的法律援助工作，其所确定的法律援助机构具体负责受理、审查法律援助申请，指派或者安排法律援助机构或者法律援助人员为受援人提供法律援助工作。</w:t>
            </w:r>
          </w:p>
        </w:tc>
        <w:tc>
          <w:tcPr>
            <w:tcW w:w="953" w:type="dxa"/>
            <w:vAlign w:val="center"/>
          </w:tcPr>
          <w:p>
            <w:pPr>
              <w:spacing w:line="270" w:lineRule="exact"/>
              <w:jc w:val="center"/>
              <w:rPr>
                <w:rFonts w:hint="eastAsia" w:ascii="仿宋_GB2312" w:eastAsia="仿宋_GB2312" w:cs="仿宋_GB2312"/>
                <w:color w:val="auto"/>
                <w:szCs w:val="21"/>
              </w:rPr>
            </w:pPr>
            <w:r>
              <w:rPr>
                <w:rFonts w:hint="eastAsia" w:ascii="仿宋_GB2312" w:hAnsi="仿宋_GB2312" w:eastAsia="仿宋_GB2312" w:cs="仿宋_GB2312"/>
                <w:color w:val="auto"/>
                <w:kern w:val="0"/>
                <w:szCs w:val="21"/>
              </w:rPr>
              <w:t>自治区</w:t>
            </w:r>
          </w:p>
        </w:tc>
        <w:tc>
          <w:tcPr>
            <w:tcW w:w="2690" w:type="dxa"/>
            <w:vAlign w:val="center"/>
          </w:tcPr>
          <w:p>
            <w:pPr>
              <w:spacing w:line="270" w:lineRule="exact"/>
              <w:jc w:val="left"/>
              <w:rPr>
                <w:rFonts w:hint="eastAsia" w:ascii="仿宋_GB2312" w:eastAsia="仿宋_GB2312" w:cs="仿宋_GB2312"/>
                <w:color w:val="auto"/>
                <w:szCs w:val="21"/>
              </w:rPr>
            </w:pPr>
            <w:r>
              <w:rPr>
                <w:rFonts w:hint="eastAsia" w:ascii="仿宋_GB2312" w:hAnsi="仿宋_GB2312" w:eastAsia="仿宋_GB2312" w:cs="仿宋_GB2312"/>
                <w:color w:val="auto"/>
                <w:kern w:val="0"/>
                <w:szCs w:val="21"/>
              </w:rPr>
              <w:t>受理、审查法律援助申请，指派或者安排法律援助机构或者法律援助人员为受援人提供法律援助工作。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9" w:hRule="atLeast"/>
          <w:jc w:val="center"/>
        </w:trPr>
        <w:tc>
          <w:tcPr>
            <w:tcW w:w="714" w:type="dxa"/>
            <w:vMerge w:val="continue"/>
            <w:vAlign w:val="center"/>
          </w:tcPr>
          <w:p>
            <w:pPr>
              <w:spacing w:line="270" w:lineRule="exact"/>
              <w:rPr>
                <w:rFonts w:hint="eastAsia" w:ascii="仿宋_GB2312" w:eastAsia="仿宋_GB2312"/>
                <w:color w:val="auto"/>
              </w:rPr>
            </w:pPr>
          </w:p>
        </w:tc>
        <w:tc>
          <w:tcPr>
            <w:tcW w:w="1148" w:type="dxa"/>
            <w:vMerge w:val="continue"/>
            <w:vAlign w:val="center"/>
          </w:tcPr>
          <w:p>
            <w:pPr>
              <w:spacing w:line="270" w:lineRule="exact"/>
              <w:rPr>
                <w:rFonts w:hint="eastAsia" w:ascii="仿宋_GB2312" w:eastAsia="仿宋_GB2312"/>
                <w:color w:val="auto"/>
              </w:rPr>
            </w:pPr>
          </w:p>
        </w:tc>
        <w:tc>
          <w:tcPr>
            <w:tcW w:w="775" w:type="dxa"/>
            <w:vMerge w:val="continue"/>
            <w:vAlign w:val="center"/>
          </w:tcPr>
          <w:p>
            <w:pPr>
              <w:spacing w:line="270" w:lineRule="exact"/>
              <w:rPr>
                <w:rFonts w:hint="eastAsia" w:ascii="仿宋_GB2312" w:eastAsia="仿宋_GB2312"/>
                <w:color w:val="auto"/>
              </w:rPr>
            </w:pPr>
          </w:p>
        </w:tc>
        <w:tc>
          <w:tcPr>
            <w:tcW w:w="823" w:type="dxa"/>
            <w:vMerge w:val="continue"/>
            <w:vAlign w:val="center"/>
          </w:tcPr>
          <w:p>
            <w:pPr>
              <w:spacing w:line="270" w:lineRule="exact"/>
              <w:rPr>
                <w:rFonts w:hint="eastAsia" w:ascii="仿宋_GB2312" w:eastAsia="仿宋_GB2312"/>
                <w:color w:val="auto"/>
              </w:rPr>
            </w:pPr>
          </w:p>
        </w:tc>
        <w:tc>
          <w:tcPr>
            <w:tcW w:w="7412" w:type="dxa"/>
            <w:vMerge w:val="continue"/>
            <w:vAlign w:val="center"/>
          </w:tcPr>
          <w:p>
            <w:pPr>
              <w:spacing w:line="270" w:lineRule="exact"/>
              <w:rPr>
                <w:rFonts w:hint="eastAsia" w:ascii="仿宋_GB2312" w:eastAsia="仿宋_GB2312"/>
                <w:color w:val="auto"/>
              </w:rPr>
            </w:pPr>
          </w:p>
        </w:tc>
        <w:tc>
          <w:tcPr>
            <w:tcW w:w="953" w:type="dxa"/>
            <w:vAlign w:val="center"/>
          </w:tcPr>
          <w:p>
            <w:pPr>
              <w:spacing w:line="270" w:lineRule="exact"/>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设区</w:t>
            </w:r>
          </w:p>
          <w:p>
            <w:pPr>
              <w:spacing w:line="270" w:lineRule="exact"/>
              <w:jc w:val="center"/>
              <w:rPr>
                <w:rFonts w:hint="eastAsia" w:ascii="仿宋_GB2312" w:eastAsia="仿宋_GB2312" w:cs="仿宋_GB2312"/>
                <w:color w:val="auto"/>
                <w:kern w:val="0"/>
                <w:szCs w:val="21"/>
              </w:rPr>
            </w:pPr>
            <w:r>
              <w:rPr>
                <w:rFonts w:hint="eastAsia" w:ascii="仿宋_GB2312" w:hAnsi="仿宋_GB2312" w:eastAsia="仿宋_GB2312" w:cs="仿宋_GB2312"/>
                <w:color w:val="auto"/>
                <w:kern w:val="0"/>
                <w:szCs w:val="21"/>
              </w:rPr>
              <w:t>的市</w:t>
            </w:r>
          </w:p>
        </w:tc>
        <w:tc>
          <w:tcPr>
            <w:tcW w:w="2690" w:type="dxa"/>
            <w:vAlign w:val="center"/>
          </w:tcPr>
          <w:p>
            <w:pPr>
              <w:spacing w:line="270" w:lineRule="exact"/>
              <w:rPr>
                <w:rFonts w:hint="eastAsia" w:ascii="仿宋_GB2312" w:eastAsia="仿宋_GB2312" w:cs="仿宋_GB2312"/>
                <w:color w:val="auto"/>
                <w:kern w:val="0"/>
                <w:szCs w:val="21"/>
              </w:rPr>
            </w:pPr>
            <w:r>
              <w:rPr>
                <w:rFonts w:hint="eastAsia" w:ascii="仿宋_GB2312" w:hAnsi="仿宋_GB2312" w:eastAsia="仿宋_GB2312" w:cs="仿宋_GB2312"/>
                <w:color w:val="auto"/>
                <w:kern w:val="0"/>
                <w:szCs w:val="21"/>
              </w:rPr>
              <w:t>受理、审查法律援助申请，指派或者安排法律援助机构或者法律援助人员为受援人提供法律援助工作。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9" w:hRule="atLeast"/>
          <w:jc w:val="center"/>
        </w:trPr>
        <w:tc>
          <w:tcPr>
            <w:tcW w:w="714" w:type="dxa"/>
            <w:vMerge w:val="continue"/>
            <w:vAlign w:val="center"/>
          </w:tcPr>
          <w:p>
            <w:pPr>
              <w:spacing w:line="270" w:lineRule="exact"/>
              <w:rPr>
                <w:rFonts w:hint="eastAsia" w:ascii="仿宋_GB2312" w:eastAsia="仿宋_GB2312" w:cs="仿宋_GB2312"/>
                <w:color w:val="auto"/>
                <w:kern w:val="0"/>
                <w:szCs w:val="21"/>
              </w:rPr>
            </w:pPr>
          </w:p>
        </w:tc>
        <w:tc>
          <w:tcPr>
            <w:tcW w:w="1148" w:type="dxa"/>
            <w:vMerge w:val="continue"/>
            <w:vAlign w:val="center"/>
          </w:tcPr>
          <w:p>
            <w:pPr>
              <w:spacing w:line="270" w:lineRule="exact"/>
              <w:rPr>
                <w:rFonts w:hint="eastAsia" w:ascii="仿宋_GB2312" w:eastAsia="仿宋_GB2312" w:cs="仿宋_GB2312"/>
                <w:color w:val="auto"/>
                <w:kern w:val="0"/>
                <w:szCs w:val="21"/>
              </w:rPr>
            </w:pPr>
          </w:p>
        </w:tc>
        <w:tc>
          <w:tcPr>
            <w:tcW w:w="775" w:type="dxa"/>
            <w:vMerge w:val="continue"/>
            <w:vAlign w:val="center"/>
          </w:tcPr>
          <w:p>
            <w:pPr>
              <w:spacing w:line="270" w:lineRule="exact"/>
              <w:rPr>
                <w:rFonts w:hint="eastAsia" w:ascii="仿宋_GB2312" w:eastAsia="仿宋_GB2312" w:cs="仿宋_GB2312"/>
                <w:color w:val="auto"/>
                <w:kern w:val="0"/>
                <w:szCs w:val="21"/>
              </w:rPr>
            </w:pPr>
          </w:p>
        </w:tc>
        <w:tc>
          <w:tcPr>
            <w:tcW w:w="823" w:type="dxa"/>
            <w:vMerge w:val="continue"/>
            <w:vAlign w:val="center"/>
          </w:tcPr>
          <w:p>
            <w:pPr>
              <w:spacing w:line="270" w:lineRule="exact"/>
              <w:rPr>
                <w:rFonts w:hint="eastAsia" w:ascii="仿宋_GB2312" w:eastAsia="仿宋_GB2312" w:cs="仿宋_GB2312"/>
                <w:color w:val="auto"/>
                <w:kern w:val="0"/>
                <w:szCs w:val="21"/>
              </w:rPr>
            </w:pPr>
          </w:p>
        </w:tc>
        <w:tc>
          <w:tcPr>
            <w:tcW w:w="7412" w:type="dxa"/>
            <w:vMerge w:val="continue"/>
            <w:vAlign w:val="center"/>
          </w:tcPr>
          <w:p>
            <w:pPr>
              <w:spacing w:line="270" w:lineRule="exact"/>
              <w:rPr>
                <w:rFonts w:hint="eastAsia" w:ascii="仿宋_GB2312" w:eastAsia="仿宋_GB2312" w:cs="仿宋_GB2312"/>
                <w:color w:val="auto"/>
                <w:kern w:val="0"/>
                <w:szCs w:val="21"/>
              </w:rPr>
            </w:pPr>
          </w:p>
        </w:tc>
        <w:tc>
          <w:tcPr>
            <w:tcW w:w="953" w:type="dxa"/>
            <w:vAlign w:val="center"/>
          </w:tcPr>
          <w:p>
            <w:pPr>
              <w:spacing w:line="270" w:lineRule="exact"/>
              <w:jc w:val="center"/>
              <w:rPr>
                <w:rFonts w:hint="eastAsia" w:ascii="仿宋_GB2312" w:eastAsia="仿宋_GB2312" w:cs="仿宋_GB2312"/>
                <w:color w:val="auto"/>
                <w:kern w:val="0"/>
                <w:szCs w:val="21"/>
              </w:rPr>
            </w:pPr>
            <w:r>
              <w:rPr>
                <w:rFonts w:hint="eastAsia" w:ascii="仿宋_GB2312" w:hAnsi="仿宋_GB2312" w:eastAsia="仿宋_GB2312" w:cs="仿宋_GB2312"/>
                <w:color w:val="auto"/>
                <w:kern w:val="0"/>
                <w:szCs w:val="21"/>
              </w:rPr>
              <w:t>县级</w:t>
            </w:r>
          </w:p>
        </w:tc>
        <w:tc>
          <w:tcPr>
            <w:tcW w:w="2690" w:type="dxa"/>
            <w:vAlign w:val="center"/>
          </w:tcPr>
          <w:p>
            <w:pPr>
              <w:spacing w:line="270" w:lineRule="exact"/>
              <w:rPr>
                <w:rFonts w:hint="eastAsia" w:ascii="仿宋_GB2312" w:eastAsia="仿宋_GB2312" w:cs="仿宋_GB2312"/>
                <w:color w:val="auto"/>
                <w:kern w:val="0"/>
                <w:szCs w:val="21"/>
              </w:rPr>
            </w:pPr>
            <w:r>
              <w:rPr>
                <w:rFonts w:hint="eastAsia" w:ascii="仿宋_GB2312" w:hAnsi="仿宋_GB2312" w:eastAsia="仿宋_GB2312" w:cs="仿宋_GB2312"/>
                <w:color w:val="auto"/>
                <w:kern w:val="0"/>
                <w:szCs w:val="21"/>
              </w:rPr>
              <w:t>受理、审查法律援助申请，指派或者安排法律援助机构或者法律援助人员为受援人提供法律援助工作。</w:t>
            </w:r>
          </w:p>
        </w:tc>
      </w:tr>
    </w:tbl>
    <w:p>
      <w:pPr>
        <w:widowControl/>
        <w:jc w:val="left"/>
        <w:rPr>
          <w:rFonts w:ascii="楷体_GB2312" w:eastAsia="楷体_GB2312"/>
          <w:b/>
          <w:bCs/>
          <w:color w:val="auto"/>
          <w:sz w:val="32"/>
          <w:szCs w:val="32"/>
        </w:rPr>
      </w:pPr>
    </w:p>
    <w:p>
      <w:pPr>
        <w:widowControl/>
        <w:jc w:val="left"/>
        <w:rPr>
          <w:rFonts w:ascii="楷体_GB2312" w:eastAsia="楷体_GB2312"/>
          <w:b/>
          <w:bCs/>
          <w:color w:val="auto"/>
          <w:sz w:val="32"/>
          <w:szCs w:val="32"/>
        </w:rPr>
      </w:pPr>
      <w:r>
        <w:rPr>
          <w:rFonts w:ascii="楷体_GB2312" w:eastAsia="楷体_GB2312"/>
          <w:b/>
          <w:bCs/>
          <w:color w:val="auto"/>
          <w:sz w:val="32"/>
          <w:szCs w:val="32"/>
        </w:rPr>
        <w:br w:type="page"/>
      </w:r>
    </w:p>
    <w:p>
      <w:pPr>
        <w:widowControl/>
        <w:jc w:val="center"/>
        <w:rPr>
          <w:rFonts w:ascii="楷体_GB2312" w:eastAsia="楷体_GB2312"/>
          <w:b/>
          <w:bCs/>
          <w:color w:val="auto"/>
          <w:sz w:val="32"/>
          <w:szCs w:val="32"/>
        </w:rPr>
      </w:pPr>
      <w:r>
        <w:rPr>
          <w:rFonts w:hint="eastAsia" w:ascii="楷体_GB2312" w:eastAsia="楷体_GB2312"/>
          <w:b/>
          <w:bCs/>
          <w:color w:val="auto"/>
          <w:sz w:val="32"/>
          <w:szCs w:val="32"/>
        </w:rPr>
        <w:t>六、行政奖励</w:t>
      </w:r>
    </w:p>
    <w:tbl>
      <w:tblPr>
        <w:tblStyle w:val="21"/>
        <w:tblW w:w="145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148"/>
        <w:gridCol w:w="775"/>
        <w:gridCol w:w="823"/>
        <w:gridCol w:w="7412"/>
        <w:gridCol w:w="953"/>
        <w:gridCol w:w="2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14" w:type="dxa"/>
            <w:vAlign w:val="center"/>
          </w:tcPr>
          <w:p>
            <w:pPr>
              <w:jc w:val="center"/>
              <w:rPr>
                <w:rFonts w:hint="eastAsia" w:ascii="仿宋_GB2312" w:eastAsia="仿宋_GB2312" w:cs="仿宋_GB2312"/>
                <w:b/>
                <w:bCs/>
                <w:color w:val="auto"/>
                <w:szCs w:val="21"/>
              </w:rPr>
            </w:pPr>
            <w:r>
              <w:rPr>
                <w:rFonts w:hint="eastAsia" w:ascii="仿宋_GB2312" w:hAnsi="仿宋_GB2312" w:eastAsia="仿宋_GB2312" w:cs="仿宋_GB2312"/>
                <w:b/>
                <w:bCs/>
                <w:color w:val="auto"/>
                <w:szCs w:val="21"/>
              </w:rPr>
              <w:t>序号</w:t>
            </w:r>
          </w:p>
        </w:tc>
        <w:tc>
          <w:tcPr>
            <w:tcW w:w="1148" w:type="dxa"/>
            <w:vAlign w:val="center"/>
          </w:tcPr>
          <w:p>
            <w:pPr>
              <w:jc w:val="center"/>
              <w:rPr>
                <w:rFonts w:hint="eastAsia" w:ascii="仿宋_GB2312" w:eastAsia="仿宋_GB2312" w:cs="仿宋_GB2312"/>
                <w:b/>
                <w:bCs/>
                <w:color w:val="auto"/>
                <w:szCs w:val="21"/>
              </w:rPr>
            </w:pPr>
            <w:r>
              <w:rPr>
                <w:rFonts w:hint="eastAsia" w:ascii="仿宋_GB2312" w:hAnsi="仿宋_GB2312" w:eastAsia="仿宋_GB2312" w:cs="仿宋_GB2312"/>
                <w:b/>
                <w:bCs/>
                <w:color w:val="auto"/>
                <w:szCs w:val="21"/>
              </w:rPr>
              <w:t>职权名称</w:t>
            </w:r>
          </w:p>
        </w:tc>
        <w:tc>
          <w:tcPr>
            <w:tcW w:w="775" w:type="dxa"/>
            <w:vAlign w:val="center"/>
          </w:tcPr>
          <w:p>
            <w:pPr>
              <w:jc w:val="center"/>
              <w:rPr>
                <w:rFonts w:hint="eastAsia" w:ascii="仿宋_GB2312" w:eastAsia="仿宋_GB2312" w:cs="仿宋_GB2312"/>
                <w:b/>
                <w:bCs/>
                <w:color w:val="auto"/>
                <w:szCs w:val="21"/>
              </w:rPr>
            </w:pPr>
            <w:r>
              <w:rPr>
                <w:rFonts w:hint="eastAsia" w:ascii="仿宋_GB2312" w:hAnsi="仿宋_GB2312" w:eastAsia="仿宋_GB2312" w:cs="仿宋_GB2312"/>
                <w:b/>
                <w:bCs/>
                <w:color w:val="auto"/>
                <w:szCs w:val="21"/>
              </w:rPr>
              <w:t>基本编码</w:t>
            </w:r>
          </w:p>
        </w:tc>
        <w:tc>
          <w:tcPr>
            <w:tcW w:w="823" w:type="dxa"/>
            <w:vAlign w:val="center"/>
          </w:tcPr>
          <w:p>
            <w:pPr>
              <w:jc w:val="center"/>
              <w:rPr>
                <w:rFonts w:hint="eastAsia" w:ascii="仿宋_GB2312" w:eastAsia="仿宋_GB2312" w:cs="仿宋_GB2312"/>
                <w:b/>
                <w:bCs/>
                <w:color w:val="auto"/>
                <w:szCs w:val="21"/>
              </w:rPr>
            </w:pPr>
            <w:r>
              <w:rPr>
                <w:rFonts w:hint="eastAsia" w:ascii="仿宋_GB2312" w:hAnsi="仿宋_GB2312" w:eastAsia="仿宋_GB2312" w:cs="仿宋_GB2312"/>
                <w:b/>
                <w:bCs/>
                <w:color w:val="auto"/>
                <w:szCs w:val="21"/>
              </w:rPr>
              <w:t>实施</w:t>
            </w:r>
          </w:p>
          <w:p>
            <w:pPr>
              <w:jc w:val="center"/>
              <w:rPr>
                <w:rFonts w:hint="eastAsia" w:ascii="仿宋_GB2312" w:eastAsia="仿宋_GB2312" w:cs="仿宋_GB2312"/>
                <w:b/>
                <w:bCs/>
                <w:color w:val="auto"/>
                <w:szCs w:val="21"/>
              </w:rPr>
            </w:pPr>
            <w:r>
              <w:rPr>
                <w:rFonts w:hint="eastAsia" w:ascii="仿宋_GB2312" w:hAnsi="仿宋_GB2312" w:eastAsia="仿宋_GB2312" w:cs="仿宋_GB2312"/>
                <w:b/>
                <w:bCs/>
                <w:color w:val="auto"/>
                <w:szCs w:val="21"/>
              </w:rPr>
              <w:t>部门</w:t>
            </w:r>
          </w:p>
        </w:tc>
        <w:tc>
          <w:tcPr>
            <w:tcW w:w="7412" w:type="dxa"/>
            <w:vAlign w:val="center"/>
          </w:tcPr>
          <w:p>
            <w:pPr>
              <w:spacing w:line="270" w:lineRule="exact"/>
              <w:jc w:val="center"/>
              <w:rPr>
                <w:rFonts w:hint="eastAsia" w:ascii="仿宋_GB2312" w:eastAsia="仿宋_GB2312" w:cs="仿宋_GB2312"/>
                <w:b/>
                <w:bCs/>
                <w:color w:val="auto"/>
                <w:szCs w:val="21"/>
              </w:rPr>
            </w:pPr>
            <w:r>
              <w:rPr>
                <w:rFonts w:hint="eastAsia" w:ascii="仿宋_GB2312" w:hAnsi="仿宋_GB2312" w:eastAsia="仿宋_GB2312" w:cs="仿宋_GB2312"/>
                <w:b/>
                <w:bCs/>
                <w:color w:val="auto"/>
                <w:szCs w:val="21"/>
              </w:rPr>
              <w:t>职权依据</w:t>
            </w:r>
          </w:p>
        </w:tc>
        <w:tc>
          <w:tcPr>
            <w:tcW w:w="953" w:type="dxa"/>
            <w:vAlign w:val="center"/>
          </w:tcPr>
          <w:p>
            <w:pPr>
              <w:jc w:val="center"/>
              <w:rPr>
                <w:rFonts w:hint="eastAsia" w:ascii="仿宋_GB2312" w:eastAsia="仿宋_GB2312" w:cs="仿宋_GB2312"/>
                <w:b/>
                <w:bCs/>
                <w:color w:val="auto"/>
                <w:szCs w:val="21"/>
              </w:rPr>
            </w:pPr>
            <w:r>
              <w:rPr>
                <w:rFonts w:hint="eastAsia" w:ascii="仿宋_GB2312" w:hAnsi="仿宋_GB2312" w:eastAsia="仿宋_GB2312" w:cs="仿宋_GB2312"/>
                <w:b/>
                <w:bCs/>
                <w:color w:val="auto"/>
                <w:szCs w:val="21"/>
              </w:rPr>
              <w:t>行使</w:t>
            </w:r>
          </w:p>
          <w:p>
            <w:pPr>
              <w:jc w:val="center"/>
              <w:rPr>
                <w:rFonts w:hint="eastAsia" w:ascii="仿宋_GB2312" w:eastAsia="仿宋_GB2312" w:cs="仿宋_GB2312"/>
                <w:b/>
                <w:bCs/>
                <w:color w:val="auto"/>
                <w:szCs w:val="21"/>
              </w:rPr>
            </w:pPr>
            <w:r>
              <w:rPr>
                <w:rFonts w:hint="eastAsia" w:ascii="仿宋_GB2312" w:hAnsi="仿宋_GB2312" w:eastAsia="仿宋_GB2312" w:cs="仿宋_GB2312"/>
                <w:b/>
                <w:bCs/>
                <w:color w:val="auto"/>
                <w:szCs w:val="21"/>
              </w:rPr>
              <w:t>层级</w:t>
            </w:r>
          </w:p>
        </w:tc>
        <w:tc>
          <w:tcPr>
            <w:tcW w:w="2690" w:type="dxa"/>
            <w:vAlign w:val="center"/>
          </w:tcPr>
          <w:p>
            <w:pPr>
              <w:jc w:val="center"/>
              <w:rPr>
                <w:rFonts w:hint="eastAsia" w:ascii="仿宋_GB2312" w:eastAsia="仿宋_GB2312" w:cs="仿宋_GB2312"/>
                <w:b/>
                <w:bCs/>
                <w:color w:val="auto"/>
                <w:szCs w:val="21"/>
              </w:rPr>
            </w:pPr>
            <w:r>
              <w:rPr>
                <w:rFonts w:hint="eastAsia" w:ascii="仿宋_GB2312" w:hAnsi="仿宋_GB2312" w:eastAsia="仿宋_GB2312" w:cs="仿宋_GB2312"/>
                <w:b/>
                <w:bCs/>
                <w:color w:val="auto"/>
                <w:szCs w:val="21"/>
              </w:rPr>
              <w:t>行使内容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1" w:hRule="atLeast"/>
          <w:jc w:val="center"/>
        </w:trPr>
        <w:tc>
          <w:tcPr>
            <w:tcW w:w="714" w:type="dxa"/>
            <w:vMerge w:val="restart"/>
            <w:vAlign w:val="center"/>
          </w:tcPr>
          <w:p>
            <w:pPr>
              <w:spacing w:line="270" w:lineRule="exact"/>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1</w:t>
            </w:r>
          </w:p>
        </w:tc>
        <w:tc>
          <w:tcPr>
            <w:tcW w:w="1148" w:type="dxa"/>
            <w:vMerge w:val="restart"/>
            <w:vAlign w:val="center"/>
          </w:tcPr>
          <w:p>
            <w:pPr>
              <w:spacing w:line="270" w:lineRule="exact"/>
              <w:rPr>
                <w:rFonts w:hint="eastAsia" w:ascii="仿宋_GB2312" w:eastAsia="仿宋_GB2312" w:cs="仿宋_GB2312"/>
                <w:color w:val="auto"/>
                <w:szCs w:val="21"/>
              </w:rPr>
            </w:pPr>
            <w:r>
              <w:rPr>
                <w:rFonts w:hint="eastAsia" w:ascii="仿宋_GB2312" w:hAnsi="仿宋_GB2312" w:eastAsia="仿宋_GB2312" w:cs="仿宋_GB2312"/>
                <w:color w:val="auto"/>
                <w:vertAlign w:val="baseline"/>
                <w:lang w:val="en-US" w:eastAsia="zh-CN"/>
              </w:rPr>
              <w:t>对优秀（先进）人民调解委员会及优秀（先进）调解员的奖励</w:t>
            </w:r>
          </w:p>
        </w:tc>
        <w:tc>
          <w:tcPr>
            <w:tcW w:w="775" w:type="dxa"/>
            <w:vMerge w:val="restart"/>
            <w:vAlign w:val="center"/>
          </w:tcPr>
          <w:p>
            <w:pPr>
              <w:spacing w:line="270" w:lineRule="exact"/>
              <w:rPr>
                <w:rFonts w:hint="eastAsia" w:ascii="仿宋_GB2312" w:eastAsia="仿宋_GB2312" w:cs="仿宋_GB2312"/>
                <w:color w:val="auto"/>
                <w:szCs w:val="21"/>
              </w:rPr>
            </w:pPr>
            <w:r>
              <w:rPr>
                <w:rFonts w:hint="eastAsia" w:ascii="仿宋_GB2312" w:eastAsia="仿宋_GB2312" w:cs="仿宋_GB2312"/>
                <w:color w:val="auto"/>
                <w:szCs w:val="21"/>
              </w:rPr>
              <w:t>0809001000</w:t>
            </w:r>
          </w:p>
        </w:tc>
        <w:tc>
          <w:tcPr>
            <w:tcW w:w="823" w:type="dxa"/>
            <w:vMerge w:val="restart"/>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vertAlign w:val="baseline"/>
                <w:lang w:val="en-US" w:eastAsia="zh-CN"/>
              </w:rPr>
              <w:t>自治区司法厅</w:t>
            </w:r>
          </w:p>
        </w:tc>
        <w:tc>
          <w:tcPr>
            <w:tcW w:w="7412" w:type="dxa"/>
            <w:vMerge w:val="restart"/>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420" w:firstLineChars="200"/>
              <w:jc w:val="both"/>
              <w:textAlignment w:val="auto"/>
              <w:outlineLvl w:val="9"/>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eastAsia="zh-CN"/>
              </w:rPr>
              <w:t>【部门规章】《人民调解委员会及调解员奖励办法》（</w:t>
            </w:r>
            <w:r>
              <w:rPr>
                <w:rFonts w:hint="eastAsia" w:ascii="仿宋_GB2312" w:hAnsi="仿宋_GB2312" w:eastAsia="仿宋_GB2312" w:cs="仿宋_GB2312"/>
                <w:color w:val="auto"/>
                <w:kern w:val="0"/>
                <w:sz w:val="21"/>
                <w:szCs w:val="21"/>
                <w:lang w:val="en-US" w:eastAsia="zh-CN"/>
              </w:rPr>
              <w:t>1991年司法部令第15号</w:t>
            </w:r>
            <w:r>
              <w:rPr>
                <w:rFonts w:hint="eastAsia" w:ascii="仿宋_GB2312" w:hAnsi="仿宋_GB2312" w:eastAsia="仿宋_GB2312" w:cs="仿宋_GB2312"/>
                <w:color w:val="auto"/>
                <w:kern w:val="0"/>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240" w:lineRule="exact"/>
              <w:ind w:right="0" w:rightChars="0" w:firstLine="420" w:firstLineChars="200"/>
              <w:jc w:val="both"/>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第七条 奖励的审批权限</w:t>
            </w:r>
          </w:p>
          <w:p>
            <w:pPr>
              <w:keepNext w:val="0"/>
              <w:keepLines w:val="0"/>
              <w:pageBreakBefore w:val="0"/>
              <w:numPr>
                <w:ilvl w:val="0"/>
                <w:numId w:val="0"/>
              </w:numPr>
              <w:kinsoku/>
              <w:wordWrap/>
              <w:overflowPunct/>
              <w:topLinePunct w:val="0"/>
              <w:autoSpaceDE/>
              <w:autoSpaceDN/>
              <w:bidi w:val="0"/>
              <w:adjustRightInd/>
              <w:snapToGrid/>
              <w:spacing w:line="240" w:lineRule="exact"/>
              <w:ind w:right="0" w:rightChars="0" w:firstLine="420" w:firstLineChars="200"/>
              <w:jc w:val="both"/>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模范人民调解委员会和模范人民调解员以及集体和个人的命名表彰，由司法部批准。</w:t>
            </w:r>
          </w:p>
          <w:p>
            <w:pPr>
              <w:keepNext w:val="0"/>
              <w:keepLines w:val="0"/>
              <w:pageBreakBefore w:val="0"/>
              <w:numPr>
                <w:ilvl w:val="0"/>
                <w:numId w:val="0"/>
              </w:numPr>
              <w:kinsoku/>
              <w:wordWrap/>
              <w:overflowPunct/>
              <w:topLinePunct w:val="0"/>
              <w:autoSpaceDE/>
              <w:autoSpaceDN/>
              <w:bidi w:val="0"/>
              <w:adjustRightInd/>
              <w:snapToGrid/>
              <w:spacing w:line="240" w:lineRule="exact"/>
              <w:ind w:right="0" w:rightChars="0" w:firstLine="420" w:firstLineChars="200"/>
              <w:jc w:val="both"/>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优秀人民调解委员会和优秀人民调解员由省、自治区、直辖市司法厅（局）批准。</w:t>
            </w:r>
          </w:p>
          <w:p>
            <w:pPr>
              <w:keepNext w:val="0"/>
              <w:keepLines w:val="0"/>
              <w:pageBreakBefore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仿宋_GB2312" w:eastAsia="仿宋_GB2312" w:cs="仿宋_GB2312"/>
                <w:color w:val="auto"/>
                <w:szCs w:val="21"/>
              </w:rPr>
            </w:pPr>
            <w:r>
              <w:rPr>
                <w:rFonts w:hint="eastAsia" w:ascii="仿宋_GB2312" w:hAnsi="仿宋_GB2312" w:eastAsia="仿宋_GB2312" w:cs="仿宋_GB2312"/>
                <w:color w:val="auto"/>
                <w:kern w:val="0"/>
                <w:sz w:val="21"/>
                <w:szCs w:val="21"/>
                <w:lang w:val="en-US" w:eastAsia="zh-CN"/>
              </w:rPr>
              <w:t xml:space="preserve">    地（市）、县级司法局（处）表彰的统称先进人民调解委员会和先进人民调解员，分别由地（市）、县级司法局（处）批准。</w:t>
            </w:r>
            <w:r>
              <w:rPr>
                <w:rFonts w:hint="eastAsia" w:ascii="楷体_GB2312" w:hAnsi="楷体_GB2312" w:eastAsia="楷体_GB2312" w:cs="楷体_GB2312"/>
                <w:color w:val="auto"/>
                <w:kern w:val="0"/>
                <w:sz w:val="21"/>
                <w:szCs w:val="21"/>
                <w:lang w:val="en-US" w:eastAsia="zh-CN"/>
              </w:rPr>
              <w:t xml:space="preserve">   </w:t>
            </w:r>
          </w:p>
        </w:tc>
        <w:tc>
          <w:tcPr>
            <w:tcW w:w="953" w:type="dxa"/>
            <w:vAlign w:val="center"/>
          </w:tcPr>
          <w:p>
            <w:pPr>
              <w:jc w:val="center"/>
              <w:rPr>
                <w:rFonts w:hint="eastAsia" w:ascii="仿宋_GB2312" w:eastAsia="仿宋_GB2312" w:cs="仿宋_GB2312"/>
                <w:color w:val="auto"/>
                <w:szCs w:val="21"/>
              </w:rPr>
            </w:pPr>
            <w:r>
              <w:rPr>
                <w:rFonts w:hint="eastAsia" w:ascii="楷体_GB2312" w:hAnsi="楷体_GB2312" w:eastAsia="楷体_GB2312" w:cs="楷体_GB2312"/>
                <w:color w:val="auto"/>
                <w:sz w:val="21"/>
                <w:szCs w:val="21"/>
                <w:lang w:val="en-US" w:eastAsia="zh-CN"/>
              </w:rPr>
              <w:t>自治区</w:t>
            </w:r>
          </w:p>
        </w:tc>
        <w:tc>
          <w:tcPr>
            <w:tcW w:w="2690" w:type="dxa"/>
            <w:vAlign w:val="center"/>
          </w:tcPr>
          <w:p>
            <w:pPr>
              <w:jc w:val="both"/>
              <w:rPr>
                <w:rFonts w:hint="eastAsia" w:ascii="仿宋_GB2312" w:eastAsia="仿宋_GB2312" w:cs="仿宋_GB2312"/>
                <w:color w:val="auto"/>
                <w:szCs w:val="21"/>
              </w:rPr>
            </w:pPr>
            <w:r>
              <w:rPr>
                <w:rFonts w:hint="eastAsia" w:ascii="仿宋_GB2312" w:hAnsi="仿宋_GB2312" w:eastAsia="仿宋_GB2312" w:cs="仿宋_GB2312"/>
                <w:color w:val="auto"/>
                <w:sz w:val="21"/>
                <w:szCs w:val="21"/>
                <w:lang w:eastAsia="zh-CN"/>
              </w:rPr>
              <w:t>对优秀人民调解委员会和人民调解员给予表彰、奖励。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6" w:hRule="atLeast"/>
          <w:jc w:val="center"/>
        </w:trPr>
        <w:tc>
          <w:tcPr>
            <w:tcW w:w="714" w:type="dxa"/>
            <w:vMerge w:val="continue"/>
            <w:vAlign w:val="center"/>
          </w:tcPr>
          <w:p>
            <w:pPr>
              <w:spacing w:line="270" w:lineRule="exact"/>
              <w:rPr>
                <w:rFonts w:hint="eastAsia" w:ascii="仿宋_GB2312" w:eastAsia="仿宋_GB2312"/>
                <w:color w:val="auto"/>
              </w:rPr>
            </w:pPr>
          </w:p>
        </w:tc>
        <w:tc>
          <w:tcPr>
            <w:tcW w:w="1148" w:type="dxa"/>
            <w:vMerge w:val="continue"/>
            <w:vAlign w:val="center"/>
          </w:tcPr>
          <w:p>
            <w:pPr>
              <w:spacing w:line="270" w:lineRule="exact"/>
              <w:jc w:val="left"/>
              <w:rPr>
                <w:rFonts w:hint="eastAsia" w:ascii="仿宋_GB2312" w:eastAsia="仿宋_GB2312"/>
                <w:color w:val="auto"/>
              </w:rPr>
            </w:pPr>
          </w:p>
        </w:tc>
        <w:tc>
          <w:tcPr>
            <w:tcW w:w="775" w:type="dxa"/>
            <w:vMerge w:val="continue"/>
            <w:vAlign w:val="center"/>
          </w:tcPr>
          <w:p>
            <w:pPr>
              <w:spacing w:line="270" w:lineRule="exact"/>
              <w:jc w:val="left"/>
              <w:rPr>
                <w:rFonts w:hint="eastAsia" w:ascii="仿宋_GB2312" w:eastAsia="仿宋_GB2312"/>
                <w:color w:val="auto"/>
              </w:rPr>
            </w:pPr>
          </w:p>
        </w:tc>
        <w:tc>
          <w:tcPr>
            <w:tcW w:w="823" w:type="dxa"/>
            <w:vMerge w:val="continue"/>
            <w:vAlign w:val="center"/>
          </w:tcPr>
          <w:p>
            <w:pPr>
              <w:spacing w:line="270" w:lineRule="exact"/>
              <w:jc w:val="left"/>
              <w:rPr>
                <w:rFonts w:hint="eastAsia" w:ascii="仿宋_GB2312" w:eastAsia="仿宋_GB2312"/>
                <w:color w:val="auto"/>
              </w:rPr>
            </w:pPr>
          </w:p>
        </w:tc>
        <w:tc>
          <w:tcPr>
            <w:tcW w:w="7412" w:type="dxa"/>
            <w:vMerge w:val="continue"/>
            <w:vAlign w:val="center"/>
          </w:tcPr>
          <w:p>
            <w:pPr>
              <w:spacing w:line="270" w:lineRule="exact"/>
              <w:jc w:val="left"/>
              <w:rPr>
                <w:rFonts w:hint="eastAsia" w:ascii="仿宋_GB2312" w:eastAsia="仿宋_GB2312"/>
                <w:color w:val="auto"/>
              </w:rPr>
            </w:pPr>
          </w:p>
        </w:tc>
        <w:tc>
          <w:tcPr>
            <w:tcW w:w="953" w:type="dxa"/>
            <w:vAlign w:val="center"/>
          </w:tcPr>
          <w:p>
            <w:pPr>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设区</w:t>
            </w:r>
          </w:p>
          <w:p>
            <w:pPr>
              <w:jc w:val="center"/>
              <w:rPr>
                <w:rFonts w:hint="eastAsia" w:ascii="仿宋_GB2312" w:eastAsia="仿宋_GB2312" w:cs="仿宋_GB2312"/>
                <w:color w:val="auto"/>
                <w:kern w:val="0"/>
                <w:szCs w:val="21"/>
              </w:rPr>
            </w:pPr>
            <w:r>
              <w:rPr>
                <w:rFonts w:hint="eastAsia" w:ascii="楷体_GB2312" w:hAnsi="楷体_GB2312" w:eastAsia="楷体_GB2312" w:cs="楷体_GB2312"/>
                <w:color w:val="auto"/>
                <w:sz w:val="21"/>
                <w:szCs w:val="21"/>
                <w:lang w:val="en-US" w:eastAsia="zh-CN"/>
              </w:rPr>
              <w:t>的市</w:t>
            </w:r>
          </w:p>
        </w:tc>
        <w:tc>
          <w:tcPr>
            <w:tcW w:w="2690" w:type="dxa"/>
            <w:vAlign w:val="center"/>
          </w:tcPr>
          <w:p>
            <w:pPr>
              <w:jc w:val="both"/>
              <w:rPr>
                <w:rFonts w:hint="eastAsia" w:ascii="仿宋_GB2312" w:eastAsia="仿宋_GB2312" w:cs="仿宋_GB2312"/>
                <w:color w:val="auto"/>
                <w:kern w:val="0"/>
                <w:szCs w:val="21"/>
              </w:rPr>
            </w:pPr>
            <w:r>
              <w:rPr>
                <w:rFonts w:hint="eastAsia" w:ascii="仿宋_GB2312" w:hAnsi="仿宋_GB2312" w:eastAsia="仿宋_GB2312" w:cs="仿宋_GB2312"/>
                <w:color w:val="auto"/>
                <w:sz w:val="21"/>
                <w:szCs w:val="21"/>
                <w:lang w:eastAsia="zh-CN"/>
              </w:rPr>
              <w:t>对先进人民调解委员会和人民调解员给予表彰、奖励。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1" w:hRule="atLeast"/>
          <w:jc w:val="center"/>
        </w:trPr>
        <w:tc>
          <w:tcPr>
            <w:tcW w:w="714" w:type="dxa"/>
            <w:vMerge w:val="continue"/>
            <w:vAlign w:val="center"/>
          </w:tcPr>
          <w:p>
            <w:pPr>
              <w:spacing w:line="270" w:lineRule="exact"/>
              <w:rPr>
                <w:rFonts w:hint="eastAsia" w:ascii="仿宋_GB2312" w:eastAsia="仿宋_GB2312" w:cs="仿宋_GB2312"/>
                <w:color w:val="auto"/>
                <w:kern w:val="0"/>
                <w:szCs w:val="21"/>
              </w:rPr>
            </w:pPr>
          </w:p>
        </w:tc>
        <w:tc>
          <w:tcPr>
            <w:tcW w:w="1148" w:type="dxa"/>
            <w:vMerge w:val="continue"/>
            <w:vAlign w:val="center"/>
          </w:tcPr>
          <w:p>
            <w:pPr>
              <w:spacing w:line="270" w:lineRule="exact"/>
              <w:jc w:val="left"/>
              <w:rPr>
                <w:rFonts w:hint="eastAsia" w:ascii="仿宋_GB2312" w:eastAsia="仿宋_GB2312" w:cs="仿宋_GB2312"/>
                <w:color w:val="auto"/>
                <w:kern w:val="0"/>
                <w:szCs w:val="21"/>
              </w:rPr>
            </w:pPr>
          </w:p>
        </w:tc>
        <w:tc>
          <w:tcPr>
            <w:tcW w:w="775" w:type="dxa"/>
            <w:vMerge w:val="continue"/>
            <w:vAlign w:val="center"/>
          </w:tcPr>
          <w:p>
            <w:pPr>
              <w:spacing w:line="270" w:lineRule="exact"/>
              <w:jc w:val="left"/>
              <w:rPr>
                <w:rFonts w:hint="eastAsia" w:ascii="仿宋_GB2312" w:eastAsia="仿宋_GB2312" w:cs="仿宋_GB2312"/>
                <w:color w:val="auto"/>
                <w:kern w:val="0"/>
                <w:szCs w:val="21"/>
              </w:rPr>
            </w:pPr>
          </w:p>
        </w:tc>
        <w:tc>
          <w:tcPr>
            <w:tcW w:w="823" w:type="dxa"/>
            <w:vMerge w:val="continue"/>
            <w:vAlign w:val="center"/>
          </w:tcPr>
          <w:p>
            <w:pPr>
              <w:spacing w:line="270" w:lineRule="exact"/>
              <w:jc w:val="left"/>
              <w:rPr>
                <w:rFonts w:hint="eastAsia" w:ascii="仿宋_GB2312" w:eastAsia="仿宋_GB2312" w:cs="仿宋_GB2312"/>
                <w:color w:val="auto"/>
                <w:kern w:val="0"/>
                <w:szCs w:val="21"/>
              </w:rPr>
            </w:pPr>
          </w:p>
        </w:tc>
        <w:tc>
          <w:tcPr>
            <w:tcW w:w="7412" w:type="dxa"/>
            <w:vMerge w:val="continue"/>
            <w:vAlign w:val="center"/>
          </w:tcPr>
          <w:p>
            <w:pPr>
              <w:spacing w:line="270" w:lineRule="exact"/>
              <w:jc w:val="left"/>
              <w:rPr>
                <w:rFonts w:hint="eastAsia" w:ascii="仿宋_GB2312" w:eastAsia="仿宋_GB2312" w:cs="仿宋_GB2312"/>
                <w:color w:val="auto"/>
                <w:kern w:val="0"/>
                <w:szCs w:val="21"/>
              </w:rPr>
            </w:pPr>
          </w:p>
        </w:tc>
        <w:tc>
          <w:tcPr>
            <w:tcW w:w="953" w:type="dxa"/>
            <w:vAlign w:val="center"/>
          </w:tcPr>
          <w:p>
            <w:pPr>
              <w:jc w:val="center"/>
              <w:rPr>
                <w:rFonts w:hint="eastAsia" w:ascii="仿宋_GB2312" w:eastAsia="仿宋_GB2312" w:cs="仿宋_GB2312"/>
                <w:color w:val="auto"/>
                <w:kern w:val="0"/>
                <w:szCs w:val="21"/>
              </w:rPr>
            </w:pPr>
            <w:r>
              <w:rPr>
                <w:rFonts w:hint="eastAsia" w:ascii="楷体_GB2312" w:hAnsi="楷体_GB2312" w:eastAsia="楷体_GB2312" w:cs="楷体_GB2312"/>
                <w:color w:val="auto"/>
                <w:sz w:val="21"/>
                <w:szCs w:val="21"/>
                <w:lang w:val="en-US" w:eastAsia="zh-CN"/>
              </w:rPr>
              <w:t>县级</w:t>
            </w:r>
          </w:p>
        </w:tc>
        <w:tc>
          <w:tcPr>
            <w:tcW w:w="2690" w:type="dxa"/>
            <w:vAlign w:val="center"/>
          </w:tcPr>
          <w:p>
            <w:pPr>
              <w:jc w:val="both"/>
              <w:rPr>
                <w:rFonts w:hint="eastAsia" w:ascii="仿宋_GB2312" w:eastAsia="仿宋_GB2312" w:cs="仿宋_GB2312"/>
                <w:color w:val="auto"/>
                <w:kern w:val="0"/>
                <w:szCs w:val="21"/>
              </w:rPr>
            </w:pPr>
            <w:r>
              <w:rPr>
                <w:rFonts w:hint="eastAsia" w:ascii="仿宋_GB2312" w:hAnsi="仿宋_GB2312" w:eastAsia="仿宋_GB2312" w:cs="仿宋_GB2312"/>
                <w:color w:val="auto"/>
                <w:sz w:val="21"/>
                <w:szCs w:val="21"/>
                <w:lang w:eastAsia="zh-CN"/>
              </w:rPr>
              <w:t>对先进人民调解委员会和人民调解员给予表彰、奖励。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jc w:val="center"/>
        </w:trPr>
        <w:tc>
          <w:tcPr>
            <w:tcW w:w="714" w:type="dxa"/>
            <w:vMerge w:val="restart"/>
            <w:vAlign w:val="center"/>
          </w:tcPr>
          <w:p>
            <w:pPr>
              <w:spacing w:line="270" w:lineRule="exact"/>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2</w:t>
            </w:r>
          </w:p>
        </w:tc>
        <w:tc>
          <w:tcPr>
            <w:tcW w:w="1148" w:type="dxa"/>
            <w:vMerge w:val="restart"/>
            <w:vAlign w:val="center"/>
          </w:tcPr>
          <w:p>
            <w:pPr>
              <w:spacing w:line="270" w:lineRule="exact"/>
              <w:rPr>
                <w:rFonts w:hint="eastAsia" w:ascii="仿宋_GB2312" w:eastAsia="仿宋_GB2312" w:cs="仿宋_GB2312"/>
                <w:color w:val="auto"/>
                <w:szCs w:val="21"/>
              </w:rPr>
            </w:pPr>
            <w:r>
              <w:rPr>
                <w:rFonts w:hint="eastAsia" w:ascii="仿宋_GB2312" w:hAnsi="仿宋_GB2312" w:eastAsia="仿宋_GB2312" w:cs="仿宋_GB2312"/>
                <w:color w:val="auto"/>
                <w:szCs w:val="21"/>
              </w:rPr>
              <w:t>对事迹特别突出的</w:t>
            </w:r>
            <w:r>
              <w:rPr>
                <w:rFonts w:hint="eastAsia" w:ascii="仿宋_GB2312" w:hAnsi="仿宋_GB2312" w:eastAsia="仿宋_GB2312" w:cs="仿宋_GB2312"/>
                <w:bCs/>
                <w:color w:val="auto"/>
                <w:szCs w:val="21"/>
              </w:rPr>
              <w:t>法律服务所和法律服务工作者的奖励</w:t>
            </w:r>
          </w:p>
        </w:tc>
        <w:tc>
          <w:tcPr>
            <w:tcW w:w="775" w:type="dxa"/>
            <w:vMerge w:val="restart"/>
            <w:vAlign w:val="center"/>
          </w:tcPr>
          <w:p>
            <w:pPr>
              <w:spacing w:line="270" w:lineRule="exact"/>
              <w:rPr>
                <w:rFonts w:hint="eastAsia" w:ascii="仿宋_GB2312" w:eastAsia="仿宋_GB2312" w:cs="仿宋_GB2312"/>
                <w:color w:val="auto"/>
                <w:szCs w:val="21"/>
              </w:rPr>
            </w:pPr>
            <w:r>
              <w:rPr>
                <w:rFonts w:hint="eastAsia" w:ascii="仿宋_GB2312" w:eastAsia="仿宋_GB2312" w:cs="仿宋_GB2312"/>
                <w:color w:val="auto"/>
                <w:szCs w:val="21"/>
              </w:rPr>
              <w:t>0809002000</w:t>
            </w:r>
          </w:p>
        </w:tc>
        <w:tc>
          <w:tcPr>
            <w:tcW w:w="823" w:type="dxa"/>
            <w:vMerge w:val="restart"/>
            <w:vAlign w:val="center"/>
          </w:tcPr>
          <w:p>
            <w:pPr>
              <w:spacing w:line="270" w:lineRule="exact"/>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412" w:type="dxa"/>
            <w:vMerge w:val="restart"/>
            <w:vAlign w:val="center"/>
          </w:tcPr>
          <w:p>
            <w:pPr>
              <w:widowControl/>
              <w:spacing w:line="27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【部门规章】《基层法律服务所管理办法》（2017年司法部令第137号）</w:t>
            </w:r>
          </w:p>
          <w:p>
            <w:pPr>
              <w:spacing w:line="270" w:lineRule="exact"/>
              <w:ind w:firstLine="420" w:firstLineChars="200"/>
              <w:jc w:val="left"/>
              <w:rPr>
                <w:rFonts w:hint="eastAsia" w:ascii="仿宋_GB2312" w:eastAsia="仿宋_GB2312" w:cs="仿宋_GB2312"/>
                <w:color w:val="auto"/>
                <w:szCs w:val="21"/>
              </w:rPr>
            </w:pPr>
            <w:r>
              <w:rPr>
                <w:rFonts w:hint="eastAsia" w:ascii="仿宋_GB2312" w:hAnsi="仿宋_GB2312" w:eastAsia="仿宋_GB2312" w:cs="仿宋_GB2312"/>
                <w:color w:val="auto"/>
                <w:szCs w:val="21"/>
              </w:rPr>
              <w:t>第三十五条</w:t>
            </w:r>
            <w:r>
              <w:rPr>
                <w:rStyle w:val="10"/>
                <w:rFonts w:hint="eastAsia" w:ascii="仿宋_GB2312" w:hAnsi="仿宋_GB2312" w:eastAsia="仿宋_GB2312" w:cs="仿宋_GB2312"/>
                <w:color w:val="auto"/>
                <w:szCs w:val="21"/>
              </w:rPr>
              <w:t xml:space="preserve">  </w:t>
            </w:r>
            <w:r>
              <w:rPr>
                <w:rFonts w:hint="eastAsia" w:ascii="仿宋_GB2312" w:hAnsi="仿宋_GB2312" w:eastAsia="仿宋_GB2312" w:cs="仿宋_GB2312"/>
                <w:color w:val="auto"/>
                <w:szCs w:val="21"/>
              </w:rPr>
              <w:t>司法行政机关对工作成绩显著、队伍建设良好、管理制度完善的基层法律服务所，按照有关规定给予表彰奖励。</w:t>
            </w:r>
          </w:p>
          <w:p>
            <w:pPr>
              <w:widowControl/>
              <w:spacing w:line="27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【部门规章】《基层法律服务工作者管理办法》（2017年司法部令第138号）</w:t>
            </w:r>
          </w:p>
          <w:p>
            <w:pPr>
              <w:spacing w:line="270" w:lineRule="exact"/>
              <w:ind w:firstLine="420" w:firstLineChars="200"/>
              <w:jc w:val="left"/>
              <w:rPr>
                <w:rFonts w:hint="eastAsia" w:ascii="仿宋_GB2312" w:eastAsia="仿宋_GB2312" w:cs="仿宋_GB2312"/>
                <w:color w:val="auto"/>
                <w:szCs w:val="21"/>
              </w:rPr>
            </w:pPr>
            <w:r>
              <w:rPr>
                <w:rFonts w:hint="eastAsia" w:ascii="仿宋_GB2312" w:hAnsi="仿宋_GB2312" w:eastAsia="仿宋_GB2312" w:cs="仿宋_GB2312"/>
                <w:color w:val="auto"/>
                <w:szCs w:val="21"/>
              </w:rPr>
              <w:t>第二十一条 对事迹特别突出的，可以报请有关司法行政机关给予表彰</w:t>
            </w:r>
          </w:p>
          <w:p>
            <w:pPr>
              <w:spacing w:line="270" w:lineRule="exact"/>
              <w:ind w:firstLine="420" w:firstLineChars="200"/>
              <w:jc w:val="left"/>
              <w:rPr>
                <w:rFonts w:hint="eastAsia" w:ascii="仿宋_GB2312" w:eastAsia="仿宋_GB2312" w:cs="仿宋_GB2312"/>
                <w:color w:val="auto"/>
                <w:szCs w:val="21"/>
              </w:rPr>
            </w:pPr>
            <w:r>
              <w:rPr>
                <w:rFonts w:hint="eastAsia" w:ascii="仿宋_GB2312" w:hAnsi="仿宋_GB2312" w:eastAsia="仿宋_GB2312" w:cs="仿宋_GB2312"/>
                <w:color w:val="auto"/>
                <w:szCs w:val="21"/>
              </w:rPr>
              <w:t>第四十五条 司法行政机关对有突出事迹或者显著贡献的基层法律服务工作者，按照有关规定给予表彰奖励。</w:t>
            </w:r>
          </w:p>
        </w:tc>
        <w:tc>
          <w:tcPr>
            <w:tcW w:w="953" w:type="dxa"/>
            <w:vAlign w:val="center"/>
          </w:tcPr>
          <w:p>
            <w:pPr>
              <w:spacing w:line="270" w:lineRule="exact"/>
              <w:rPr>
                <w:rFonts w:hint="eastAsia" w:ascii="仿宋_GB2312" w:eastAsia="仿宋_GB2312" w:cs="仿宋_GB2312"/>
                <w:color w:val="auto"/>
                <w:szCs w:val="21"/>
              </w:rPr>
            </w:pPr>
            <w:r>
              <w:rPr>
                <w:rFonts w:hint="eastAsia" w:ascii="仿宋_GB2312" w:hAnsi="仿宋_GB2312" w:eastAsia="仿宋_GB2312" w:cs="仿宋_GB2312"/>
                <w:color w:val="auto"/>
                <w:kern w:val="0"/>
                <w:szCs w:val="21"/>
              </w:rPr>
              <w:t>自治区</w:t>
            </w:r>
          </w:p>
        </w:tc>
        <w:tc>
          <w:tcPr>
            <w:tcW w:w="2690" w:type="dxa"/>
            <w:vAlign w:val="center"/>
          </w:tcPr>
          <w:p>
            <w:pPr>
              <w:spacing w:line="270" w:lineRule="exact"/>
              <w:jc w:val="left"/>
              <w:rPr>
                <w:rFonts w:hint="eastAsia" w:ascii="仿宋_GB2312" w:eastAsia="仿宋_GB2312" w:cs="仿宋_GB2312"/>
                <w:color w:val="auto"/>
                <w:szCs w:val="21"/>
              </w:rPr>
            </w:pPr>
            <w:r>
              <w:rPr>
                <w:rFonts w:hint="eastAsia" w:ascii="仿宋_GB2312" w:hAnsi="仿宋_GB2312" w:eastAsia="仿宋_GB2312" w:cs="仿宋_GB2312"/>
                <w:color w:val="auto"/>
                <w:szCs w:val="21"/>
              </w:rPr>
              <w:t>对基层法律服务所和基层法律服务工作者给予表彰、奖励。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jc w:val="center"/>
        </w:trPr>
        <w:tc>
          <w:tcPr>
            <w:tcW w:w="714" w:type="dxa"/>
            <w:vMerge w:val="continue"/>
            <w:vAlign w:val="center"/>
          </w:tcPr>
          <w:p>
            <w:pPr>
              <w:spacing w:line="270" w:lineRule="exact"/>
              <w:rPr>
                <w:rFonts w:hint="eastAsia" w:ascii="仿宋_GB2312" w:eastAsia="仿宋_GB2312"/>
                <w:color w:val="auto"/>
              </w:rPr>
            </w:pPr>
          </w:p>
        </w:tc>
        <w:tc>
          <w:tcPr>
            <w:tcW w:w="1148" w:type="dxa"/>
            <w:vMerge w:val="continue"/>
            <w:vAlign w:val="center"/>
          </w:tcPr>
          <w:p>
            <w:pPr>
              <w:spacing w:line="270" w:lineRule="exact"/>
              <w:rPr>
                <w:rFonts w:hint="eastAsia" w:ascii="仿宋_GB2312" w:eastAsia="仿宋_GB2312"/>
                <w:color w:val="auto"/>
              </w:rPr>
            </w:pPr>
          </w:p>
        </w:tc>
        <w:tc>
          <w:tcPr>
            <w:tcW w:w="775" w:type="dxa"/>
            <w:vMerge w:val="continue"/>
            <w:vAlign w:val="center"/>
          </w:tcPr>
          <w:p>
            <w:pPr>
              <w:spacing w:line="270" w:lineRule="exact"/>
              <w:rPr>
                <w:rFonts w:hint="eastAsia" w:ascii="仿宋_GB2312" w:eastAsia="仿宋_GB2312"/>
                <w:color w:val="auto"/>
              </w:rPr>
            </w:pPr>
          </w:p>
        </w:tc>
        <w:tc>
          <w:tcPr>
            <w:tcW w:w="823" w:type="dxa"/>
            <w:vMerge w:val="continue"/>
            <w:vAlign w:val="center"/>
          </w:tcPr>
          <w:p>
            <w:pPr>
              <w:spacing w:line="270" w:lineRule="exact"/>
              <w:rPr>
                <w:rFonts w:hint="eastAsia" w:ascii="仿宋_GB2312" w:eastAsia="仿宋_GB2312"/>
                <w:color w:val="auto"/>
              </w:rPr>
            </w:pPr>
          </w:p>
        </w:tc>
        <w:tc>
          <w:tcPr>
            <w:tcW w:w="7412" w:type="dxa"/>
            <w:vMerge w:val="continue"/>
            <w:vAlign w:val="center"/>
          </w:tcPr>
          <w:p>
            <w:pPr>
              <w:spacing w:line="270" w:lineRule="exact"/>
              <w:rPr>
                <w:rFonts w:hint="eastAsia" w:ascii="仿宋_GB2312" w:eastAsia="仿宋_GB2312"/>
                <w:color w:val="auto"/>
              </w:rPr>
            </w:pPr>
          </w:p>
        </w:tc>
        <w:tc>
          <w:tcPr>
            <w:tcW w:w="953" w:type="dxa"/>
            <w:vAlign w:val="center"/>
          </w:tcPr>
          <w:p>
            <w:pPr>
              <w:spacing w:line="270" w:lineRule="exact"/>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设区</w:t>
            </w:r>
          </w:p>
          <w:p>
            <w:pPr>
              <w:spacing w:line="270" w:lineRule="exact"/>
              <w:jc w:val="center"/>
              <w:rPr>
                <w:rFonts w:hint="eastAsia" w:ascii="仿宋_GB2312" w:eastAsia="仿宋_GB2312" w:cs="仿宋_GB2312"/>
                <w:color w:val="auto"/>
                <w:kern w:val="0"/>
                <w:szCs w:val="21"/>
              </w:rPr>
            </w:pPr>
            <w:r>
              <w:rPr>
                <w:rFonts w:hint="eastAsia" w:ascii="仿宋_GB2312" w:hAnsi="仿宋_GB2312" w:eastAsia="仿宋_GB2312" w:cs="仿宋_GB2312"/>
                <w:color w:val="auto"/>
                <w:kern w:val="0"/>
                <w:szCs w:val="21"/>
              </w:rPr>
              <w:t>的市</w:t>
            </w:r>
          </w:p>
        </w:tc>
        <w:tc>
          <w:tcPr>
            <w:tcW w:w="2690" w:type="dxa"/>
            <w:vAlign w:val="center"/>
          </w:tcPr>
          <w:p>
            <w:pPr>
              <w:spacing w:line="270" w:lineRule="exact"/>
              <w:rPr>
                <w:rFonts w:hint="eastAsia" w:ascii="仿宋_GB2312" w:eastAsia="仿宋_GB2312" w:cs="仿宋_GB2312"/>
                <w:color w:val="auto"/>
                <w:kern w:val="0"/>
                <w:szCs w:val="21"/>
              </w:rPr>
            </w:pPr>
            <w:r>
              <w:rPr>
                <w:rFonts w:hint="eastAsia" w:ascii="仿宋_GB2312" w:hAnsi="仿宋_GB2312" w:eastAsia="仿宋_GB2312" w:cs="仿宋_GB2312"/>
                <w:color w:val="auto"/>
                <w:szCs w:val="21"/>
              </w:rPr>
              <w:t>对基层法律服务所和基层法律服务工作者给予表彰、奖励。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5" w:hRule="atLeast"/>
          <w:jc w:val="center"/>
        </w:trPr>
        <w:tc>
          <w:tcPr>
            <w:tcW w:w="714" w:type="dxa"/>
            <w:vMerge w:val="continue"/>
            <w:vAlign w:val="center"/>
          </w:tcPr>
          <w:p>
            <w:pPr>
              <w:spacing w:line="270" w:lineRule="exact"/>
              <w:rPr>
                <w:rFonts w:hint="eastAsia" w:ascii="仿宋_GB2312" w:eastAsia="仿宋_GB2312" w:cs="仿宋_GB2312"/>
                <w:color w:val="auto"/>
                <w:kern w:val="0"/>
                <w:szCs w:val="21"/>
              </w:rPr>
            </w:pPr>
          </w:p>
        </w:tc>
        <w:tc>
          <w:tcPr>
            <w:tcW w:w="1148" w:type="dxa"/>
            <w:vMerge w:val="continue"/>
            <w:vAlign w:val="center"/>
          </w:tcPr>
          <w:p>
            <w:pPr>
              <w:spacing w:line="270" w:lineRule="exact"/>
              <w:rPr>
                <w:rFonts w:hint="eastAsia" w:ascii="仿宋_GB2312" w:eastAsia="仿宋_GB2312" w:cs="仿宋_GB2312"/>
                <w:color w:val="auto"/>
                <w:kern w:val="0"/>
                <w:szCs w:val="21"/>
              </w:rPr>
            </w:pPr>
          </w:p>
        </w:tc>
        <w:tc>
          <w:tcPr>
            <w:tcW w:w="775" w:type="dxa"/>
            <w:vMerge w:val="continue"/>
            <w:vAlign w:val="center"/>
          </w:tcPr>
          <w:p>
            <w:pPr>
              <w:spacing w:line="270" w:lineRule="exact"/>
              <w:rPr>
                <w:rFonts w:hint="eastAsia" w:ascii="仿宋_GB2312" w:eastAsia="仿宋_GB2312" w:cs="仿宋_GB2312"/>
                <w:color w:val="auto"/>
                <w:kern w:val="0"/>
                <w:szCs w:val="21"/>
              </w:rPr>
            </w:pPr>
          </w:p>
        </w:tc>
        <w:tc>
          <w:tcPr>
            <w:tcW w:w="823" w:type="dxa"/>
            <w:vMerge w:val="continue"/>
            <w:vAlign w:val="center"/>
          </w:tcPr>
          <w:p>
            <w:pPr>
              <w:spacing w:line="270" w:lineRule="exact"/>
              <w:rPr>
                <w:rFonts w:hint="eastAsia" w:ascii="仿宋_GB2312" w:eastAsia="仿宋_GB2312" w:cs="仿宋_GB2312"/>
                <w:color w:val="auto"/>
                <w:kern w:val="0"/>
                <w:szCs w:val="21"/>
              </w:rPr>
            </w:pPr>
          </w:p>
        </w:tc>
        <w:tc>
          <w:tcPr>
            <w:tcW w:w="7412" w:type="dxa"/>
            <w:vMerge w:val="continue"/>
            <w:vAlign w:val="center"/>
          </w:tcPr>
          <w:p>
            <w:pPr>
              <w:spacing w:line="270" w:lineRule="exact"/>
              <w:rPr>
                <w:rFonts w:hint="eastAsia" w:ascii="仿宋_GB2312" w:eastAsia="仿宋_GB2312" w:cs="仿宋_GB2312"/>
                <w:color w:val="auto"/>
                <w:kern w:val="0"/>
                <w:szCs w:val="21"/>
              </w:rPr>
            </w:pPr>
          </w:p>
        </w:tc>
        <w:tc>
          <w:tcPr>
            <w:tcW w:w="953" w:type="dxa"/>
            <w:vAlign w:val="center"/>
          </w:tcPr>
          <w:p>
            <w:pPr>
              <w:spacing w:line="270" w:lineRule="exact"/>
              <w:jc w:val="center"/>
              <w:rPr>
                <w:rFonts w:hint="eastAsia" w:ascii="仿宋_GB2312" w:eastAsia="仿宋_GB2312" w:cs="仿宋_GB2312"/>
                <w:color w:val="auto"/>
                <w:kern w:val="0"/>
                <w:szCs w:val="21"/>
              </w:rPr>
            </w:pPr>
            <w:r>
              <w:rPr>
                <w:rFonts w:hint="eastAsia" w:ascii="仿宋_GB2312" w:hAnsi="仿宋_GB2312" w:eastAsia="仿宋_GB2312" w:cs="仿宋_GB2312"/>
                <w:color w:val="auto"/>
                <w:kern w:val="0"/>
                <w:szCs w:val="21"/>
              </w:rPr>
              <w:t>县级</w:t>
            </w:r>
          </w:p>
        </w:tc>
        <w:tc>
          <w:tcPr>
            <w:tcW w:w="2690" w:type="dxa"/>
            <w:vAlign w:val="center"/>
          </w:tcPr>
          <w:p>
            <w:pPr>
              <w:spacing w:line="270" w:lineRule="exact"/>
              <w:rPr>
                <w:rFonts w:hint="eastAsia" w:ascii="仿宋_GB2312" w:eastAsia="仿宋_GB2312" w:cs="仿宋_GB2312"/>
                <w:color w:val="auto"/>
                <w:kern w:val="0"/>
                <w:szCs w:val="21"/>
              </w:rPr>
            </w:pPr>
            <w:r>
              <w:rPr>
                <w:rFonts w:hint="eastAsia" w:ascii="仿宋_GB2312" w:hAnsi="仿宋_GB2312" w:eastAsia="仿宋_GB2312" w:cs="仿宋_GB2312"/>
                <w:color w:val="auto"/>
                <w:szCs w:val="21"/>
              </w:rPr>
              <w:t>对基层法律服务所和基层法律服务工作者给予表彰、奖励。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714" w:type="dxa"/>
            <w:vMerge w:val="restart"/>
            <w:vAlign w:val="center"/>
          </w:tcPr>
          <w:p>
            <w:pPr>
              <w:spacing w:line="270" w:lineRule="exact"/>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3</w:t>
            </w:r>
          </w:p>
        </w:tc>
        <w:tc>
          <w:tcPr>
            <w:tcW w:w="1148" w:type="dxa"/>
            <w:vMerge w:val="restart"/>
            <w:vAlign w:val="center"/>
          </w:tcPr>
          <w:p>
            <w:pPr>
              <w:spacing w:line="270" w:lineRule="exact"/>
              <w:rPr>
                <w:rFonts w:hint="eastAsia" w:ascii="仿宋_GB2312" w:eastAsia="仿宋_GB2312" w:cs="仿宋_GB2312"/>
                <w:color w:val="auto"/>
                <w:szCs w:val="21"/>
              </w:rPr>
            </w:pPr>
            <w:r>
              <w:rPr>
                <w:rFonts w:hint="eastAsia" w:ascii="仿宋_GB2312" w:hAnsi="仿宋_GB2312" w:eastAsia="仿宋_GB2312" w:cs="仿宋_GB2312"/>
                <w:color w:val="auto"/>
                <w:szCs w:val="21"/>
              </w:rPr>
              <w:t>对法律援助工作行政奖励</w:t>
            </w:r>
          </w:p>
        </w:tc>
        <w:tc>
          <w:tcPr>
            <w:tcW w:w="775" w:type="dxa"/>
            <w:vMerge w:val="restart"/>
            <w:vAlign w:val="center"/>
          </w:tcPr>
          <w:p>
            <w:pPr>
              <w:spacing w:line="270" w:lineRule="exact"/>
              <w:rPr>
                <w:rFonts w:hint="eastAsia" w:ascii="仿宋_GB2312" w:eastAsia="仿宋_GB2312" w:cs="仿宋_GB2312"/>
                <w:color w:val="auto"/>
                <w:szCs w:val="21"/>
              </w:rPr>
            </w:pPr>
            <w:r>
              <w:rPr>
                <w:rFonts w:hint="eastAsia" w:ascii="仿宋_GB2312" w:eastAsia="仿宋_GB2312" w:cs="仿宋_GB2312"/>
                <w:color w:val="auto"/>
                <w:szCs w:val="21"/>
              </w:rPr>
              <w:t>0809003000</w:t>
            </w:r>
          </w:p>
        </w:tc>
        <w:tc>
          <w:tcPr>
            <w:tcW w:w="823" w:type="dxa"/>
            <w:vMerge w:val="restart"/>
            <w:vAlign w:val="center"/>
          </w:tcPr>
          <w:p>
            <w:pPr>
              <w:spacing w:line="270" w:lineRule="exact"/>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人民政府或司法行政部门</w:t>
            </w:r>
          </w:p>
        </w:tc>
        <w:tc>
          <w:tcPr>
            <w:tcW w:w="7412" w:type="dxa"/>
            <w:vMerge w:val="restart"/>
            <w:vAlign w:val="center"/>
          </w:tcPr>
          <w:p>
            <w:pPr>
              <w:widowControl/>
              <w:spacing w:line="27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【地方性法规】《宁夏回族自治区法律援助条例》（2017年）</w:t>
            </w:r>
          </w:p>
          <w:p>
            <w:pPr>
              <w:spacing w:line="270" w:lineRule="exact"/>
              <w:ind w:firstLine="420" w:firstLineChars="200"/>
              <w:jc w:val="left"/>
              <w:rPr>
                <w:rFonts w:hint="eastAsia" w:ascii="仿宋_GB2312" w:eastAsia="仿宋_GB2312" w:cs="仿宋_GB2312"/>
                <w:color w:val="auto"/>
                <w:szCs w:val="21"/>
              </w:rPr>
            </w:pPr>
            <w:r>
              <w:rPr>
                <w:rFonts w:hint="eastAsia" w:ascii="仿宋_GB2312" w:hAnsi="仿宋_GB2312" w:eastAsia="仿宋_GB2312" w:cs="仿宋_GB2312"/>
                <w:color w:val="auto"/>
                <w:szCs w:val="21"/>
              </w:rPr>
              <w:t>第七条　对在法律援助工作中作出突出贡献的组织和个人，县级以上人民政府或者司法行政部门应当给予表彰、奖励。</w:t>
            </w:r>
          </w:p>
        </w:tc>
        <w:tc>
          <w:tcPr>
            <w:tcW w:w="953" w:type="dxa"/>
            <w:vAlign w:val="center"/>
          </w:tcPr>
          <w:p>
            <w:pPr>
              <w:spacing w:line="270" w:lineRule="exact"/>
              <w:jc w:val="center"/>
              <w:rPr>
                <w:rFonts w:hint="eastAsia" w:ascii="仿宋_GB2312" w:eastAsia="仿宋_GB2312" w:cs="仿宋_GB2312"/>
                <w:color w:val="auto"/>
                <w:szCs w:val="21"/>
              </w:rPr>
            </w:pPr>
            <w:r>
              <w:rPr>
                <w:rFonts w:hint="eastAsia" w:ascii="仿宋_GB2312" w:hAnsi="仿宋_GB2312" w:eastAsia="仿宋_GB2312" w:cs="仿宋_GB2312"/>
                <w:color w:val="auto"/>
                <w:kern w:val="0"/>
                <w:szCs w:val="21"/>
              </w:rPr>
              <w:t>自治区</w:t>
            </w:r>
          </w:p>
        </w:tc>
        <w:tc>
          <w:tcPr>
            <w:tcW w:w="2690" w:type="dxa"/>
            <w:vAlign w:val="center"/>
          </w:tcPr>
          <w:p>
            <w:pPr>
              <w:spacing w:line="270" w:lineRule="exact"/>
              <w:rPr>
                <w:rFonts w:hint="eastAsia" w:ascii="仿宋_GB2312" w:eastAsia="仿宋_GB2312" w:cs="仿宋_GB2312"/>
                <w:color w:val="auto"/>
                <w:szCs w:val="21"/>
              </w:rPr>
            </w:pPr>
            <w:r>
              <w:rPr>
                <w:rFonts w:hint="eastAsia" w:ascii="仿宋_GB2312" w:hAnsi="仿宋_GB2312" w:eastAsia="仿宋_GB2312" w:cs="仿宋_GB2312"/>
                <w:color w:val="auto"/>
                <w:szCs w:val="21"/>
              </w:rPr>
              <w:t>对组织和个人给予表彰、奖励。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714" w:type="dxa"/>
            <w:vMerge w:val="continue"/>
            <w:vAlign w:val="center"/>
          </w:tcPr>
          <w:p>
            <w:pPr>
              <w:spacing w:line="270" w:lineRule="exact"/>
              <w:rPr>
                <w:rFonts w:hint="eastAsia" w:ascii="仿宋_GB2312" w:eastAsia="仿宋_GB2312"/>
                <w:color w:val="auto"/>
              </w:rPr>
            </w:pPr>
          </w:p>
        </w:tc>
        <w:tc>
          <w:tcPr>
            <w:tcW w:w="1148" w:type="dxa"/>
            <w:vMerge w:val="continue"/>
            <w:vAlign w:val="center"/>
          </w:tcPr>
          <w:p>
            <w:pPr>
              <w:spacing w:line="270" w:lineRule="exact"/>
              <w:rPr>
                <w:rFonts w:hint="eastAsia" w:ascii="仿宋_GB2312" w:eastAsia="仿宋_GB2312"/>
                <w:color w:val="auto"/>
              </w:rPr>
            </w:pPr>
          </w:p>
        </w:tc>
        <w:tc>
          <w:tcPr>
            <w:tcW w:w="775" w:type="dxa"/>
            <w:vMerge w:val="continue"/>
            <w:vAlign w:val="center"/>
          </w:tcPr>
          <w:p>
            <w:pPr>
              <w:spacing w:line="270" w:lineRule="exact"/>
              <w:rPr>
                <w:rFonts w:hint="eastAsia" w:ascii="仿宋_GB2312" w:eastAsia="仿宋_GB2312"/>
                <w:color w:val="auto"/>
              </w:rPr>
            </w:pPr>
          </w:p>
        </w:tc>
        <w:tc>
          <w:tcPr>
            <w:tcW w:w="823" w:type="dxa"/>
            <w:vMerge w:val="continue"/>
            <w:vAlign w:val="center"/>
          </w:tcPr>
          <w:p>
            <w:pPr>
              <w:spacing w:line="270" w:lineRule="exact"/>
              <w:rPr>
                <w:rFonts w:hint="eastAsia" w:ascii="仿宋_GB2312" w:eastAsia="仿宋_GB2312"/>
                <w:color w:val="auto"/>
              </w:rPr>
            </w:pPr>
          </w:p>
        </w:tc>
        <w:tc>
          <w:tcPr>
            <w:tcW w:w="7412" w:type="dxa"/>
            <w:vMerge w:val="continue"/>
            <w:vAlign w:val="center"/>
          </w:tcPr>
          <w:p>
            <w:pPr>
              <w:spacing w:line="270" w:lineRule="exact"/>
              <w:rPr>
                <w:rFonts w:hint="eastAsia" w:ascii="仿宋_GB2312" w:eastAsia="仿宋_GB2312"/>
                <w:color w:val="auto"/>
              </w:rPr>
            </w:pPr>
          </w:p>
        </w:tc>
        <w:tc>
          <w:tcPr>
            <w:tcW w:w="953" w:type="dxa"/>
            <w:vAlign w:val="center"/>
          </w:tcPr>
          <w:p>
            <w:pPr>
              <w:spacing w:line="270" w:lineRule="exact"/>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设区</w:t>
            </w:r>
          </w:p>
          <w:p>
            <w:pPr>
              <w:spacing w:line="270" w:lineRule="exact"/>
              <w:jc w:val="center"/>
              <w:rPr>
                <w:rFonts w:hint="eastAsia" w:ascii="仿宋_GB2312" w:eastAsia="仿宋_GB2312" w:cs="仿宋_GB2312"/>
                <w:color w:val="auto"/>
                <w:kern w:val="0"/>
                <w:szCs w:val="21"/>
              </w:rPr>
            </w:pPr>
            <w:r>
              <w:rPr>
                <w:rFonts w:hint="eastAsia" w:ascii="仿宋_GB2312" w:hAnsi="仿宋_GB2312" w:eastAsia="仿宋_GB2312" w:cs="仿宋_GB2312"/>
                <w:color w:val="auto"/>
                <w:kern w:val="0"/>
                <w:szCs w:val="21"/>
              </w:rPr>
              <w:t>的市</w:t>
            </w:r>
          </w:p>
        </w:tc>
        <w:tc>
          <w:tcPr>
            <w:tcW w:w="2690" w:type="dxa"/>
            <w:vAlign w:val="center"/>
          </w:tcPr>
          <w:p>
            <w:pPr>
              <w:spacing w:line="270" w:lineRule="exact"/>
              <w:rPr>
                <w:rFonts w:hint="eastAsia" w:ascii="仿宋_GB2312" w:eastAsia="仿宋_GB2312" w:cs="仿宋_GB2312"/>
                <w:color w:val="auto"/>
                <w:kern w:val="0"/>
                <w:szCs w:val="21"/>
              </w:rPr>
            </w:pPr>
            <w:r>
              <w:rPr>
                <w:rFonts w:hint="eastAsia" w:ascii="仿宋_GB2312" w:hAnsi="仿宋_GB2312" w:eastAsia="仿宋_GB2312" w:cs="仿宋_GB2312"/>
                <w:color w:val="auto"/>
                <w:szCs w:val="21"/>
              </w:rPr>
              <w:t>对组织和个人给予表彰、奖励。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714" w:type="dxa"/>
            <w:vMerge w:val="continue"/>
            <w:vAlign w:val="center"/>
          </w:tcPr>
          <w:p>
            <w:pPr>
              <w:spacing w:line="270" w:lineRule="exact"/>
              <w:rPr>
                <w:rFonts w:hint="eastAsia" w:ascii="仿宋_GB2312" w:eastAsia="仿宋_GB2312" w:cs="仿宋_GB2312"/>
                <w:color w:val="auto"/>
                <w:kern w:val="0"/>
                <w:szCs w:val="21"/>
              </w:rPr>
            </w:pPr>
          </w:p>
        </w:tc>
        <w:tc>
          <w:tcPr>
            <w:tcW w:w="1148" w:type="dxa"/>
            <w:vMerge w:val="continue"/>
            <w:vAlign w:val="center"/>
          </w:tcPr>
          <w:p>
            <w:pPr>
              <w:spacing w:line="270" w:lineRule="exact"/>
              <w:rPr>
                <w:rFonts w:hint="eastAsia" w:ascii="仿宋_GB2312" w:eastAsia="仿宋_GB2312" w:cs="仿宋_GB2312"/>
                <w:color w:val="auto"/>
                <w:kern w:val="0"/>
                <w:szCs w:val="21"/>
              </w:rPr>
            </w:pPr>
          </w:p>
        </w:tc>
        <w:tc>
          <w:tcPr>
            <w:tcW w:w="775" w:type="dxa"/>
            <w:vMerge w:val="continue"/>
            <w:vAlign w:val="center"/>
          </w:tcPr>
          <w:p>
            <w:pPr>
              <w:spacing w:line="270" w:lineRule="exact"/>
              <w:rPr>
                <w:rFonts w:hint="eastAsia" w:ascii="仿宋_GB2312" w:eastAsia="仿宋_GB2312" w:cs="仿宋_GB2312"/>
                <w:color w:val="auto"/>
                <w:kern w:val="0"/>
                <w:szCs w:val="21"/>
              </w:rPr>
            </w:pPr>
          </w:p>
        </w:tc>
        <w:tc>
          <w:tcPr>
            <w:tcW w:w="823" w:type="dxa"/>
            <w:vMerge w:val="continue"/>
            <w:vAlign w:val="center"/>
          </w:tcPr>
          <w:p>
            <w:pPr>
              <w:spacing w:line="270" w:lineRule="exact"/>
              <w:rPr>
                <w:rFonts w:hint="eastAsia" w:ascii="仿宋_GB2312" w:eastAsia="仿宋_GB2312" w:cs="仿宋_GB2312"/>
                <w:color w:val="auto"/>
                <w:kern w:val="0"/>
                <w:szCs w:val="21"/>
              </w:rPr>
            </w:pPr>
          </w:p>
        </w:tc>
        <w:tc>
          <w:tcPr>
            <w:tcW w:w="7412" w:type="dxa"/>
            <w:vMerge w:val="continue"/>
            <w:vAlign w:val="center"/>
          </w:tcPr>
          <w:p>
            <w:pPr>
              <w:spacing w:line="270" w:lineRule="exact"/>
              <w:rPr>
                <w:rFonts w:hint="eastAsia" w:ascii="仿宋_GB2312" w:eastAsia="仿宋_GB2312" w:cs="仿宋_GB2312"/>
                <w:color w:val="auto"/>
                <w:kern w:val="0"/>
                <w:szCs w:val="21"/>
              </w:rPr>
            </w:pPr>
          </w:p>
        </w:tc>
        <w:tc>
          <w:tcPr>
            <w:tcW w:w="953" w:type="dxa"/>
            <w:vAlign w:val="center"/>
          </w:tcPr>
          <w:p>
            <w:pPr>
              <w:spacing w:line="270" w:lineRule="exact"/>
              <w:jc w:val="center"/>
              <w:rPr>
                <w:rFonts w:hint="eastAsia" w:ascii="仿宋_GB2312" w:eastAsia="仿宋_GB2312" w:cs="仿宋_GB2312"/>
                <w:color w:val="auto"/>
                <w:kern w:val="0"/>
                <w:szCs w:val="21"/>
              </w:rPr>
            </w:pPr>
            <w:r>
              <w:rPr>
                <w:rFonts w:hint="eastAsia" w:ascii="仿宋_GB2312" w:hAnsi="仿宋_GB2312" w:eastAsia="仿宋_GB2312" w:cs="仿宋_GB2312"/>
                <w:color w:val="auto"/>
                <w:kern w:val="0"/>
                <w:szCs w:val="21"/>
              </w:rPr>
              <w:t>县级</w:t>
            </w:r>
          </w:p>
        </w:tc>
        <w:tc>
          <w:tcPr>
            <w:tcW w:w="2690" w:type="dxa"/>
            <w:vAlign w:val="center"/>
          </w:tcPr>
          <w:p>
            <w:pPr>
              <w:spacing w:line="270" w:lineRule="exact"/>
              <w:rPr>
                <w:rFonts w:hint="eastAsia" w:ascii="仿宋_GB2312" w:eastAsia="仿宋_GB2312" w:cs="仿宋_GB2312"/>
                <w:color w:val="auto"/>
                <w:kern w:val="0"/>
                <w:szCs w:val="21"/>
              </w:rPr>
            </w:pPr>
            <w:r>
              <w:rPr>
                <w:rFonts w:hint="eastAsia" w:ascii="仿宋_GB2312" w:hAnsi="仿宋_GB2312" w:eastAsia="仿宋_GB2312" w:cs="仿宋_GB2312"/>
                <w:color w:val="auto"/>
                <w:szCs w:val="21"/>
              </w:rPr>
              <w:t>对组织和个人给予表彰、奖励。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jc w:val="center"/>
        </w:trPr>
        <w:tc>
          <w:tcPr>
            <w:tcW w:w="714" w:type="dxa"/>
            <w:vMerge w:val="restart"/>
            <w:vAlign w:val="center"/>
          </w:tcPr>
          <w:p>
            <w:pPr>
              <w:spacing w:line="270" w:lineRule="exact"/>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4</w:t>
            </w:r>
          </w:p>
        </w:tc>
        <w:tc>
          <w:tcPr>
            <w:tcW w:w="1148" w:type="dxa"/>
            <w:vMerge w:val="restart"/>
            <w:vAlign w:val="center"/>
          </w:tcPr>
          <w:p>
            <w:pPr>
              <w:spacing w:line="270" w:lineRule="exact"/>
              <w:rPr>
                <w:rFonts w:hint="eastAsia" w:ascii="仿宋_GB2312" w:eastAsia="仿宋_GB2312" w:cs="仿宋_GB2312"/>
                <w:color w:val="auto"/>
                <w:szCs w:val="21"/>
              </w:rPr>
            </w:pPr>
            <w:r>
              <w:rPr>
                <w:rFonts w:hint="eastAsia" w:ascii="仿宋_GB2312" w:hAnsi="仿宋_GB2312" w:eastAsia="仿宋_GB2312" w:cs="仿宋_GB2312"/>
                <w:color w:val="auto"/>
                <w:szCs w:val="21"/>
              </w:rPr>
              <w:t>对法制宣传工作表彰、奖励</w:t>
            </w:r>
          </w:p>
        </w:tc>
        <w:tc>
          <w:tcPr>
            <w:tcW w:w="775" w:type="dxa"/>
            <w:vMerge w:val="restart"/>
            <w:vAlign w:val="center"/>
          </w:tcPr>
          <w:p>
            <w:pPr>
              <w:spacing w:line="270" w:lineRule="exact"/>
              <w:rPr>
                <w:rFonts w:hint="eastAsia" w:ascii="仿宋_GB2312" w:eastAsia="仿宋_GB2312" w:cs="仿宋_GB2312"/>
                <w:color w:val="auto"/>
                <w:szCs w:val="21"/>
              </w:rPr>
            </w:pPr>
            <w:r>
              <w:rPr>
                <w:rFonts w:hint="eastAsia" w:ascii="仿宋_GB2312" w:eastAsia="仿宋_GB2312" w:cs="仿宋_GB2312"/>
                <w:color w:val="auto"/>
                <w:szCs w:val="21"/>
              </w:rPr>
              <w:t>0809004000</w:t>
            </w:r>
          </w:p>
        </w:tc>
        <w:tc>
          <w:tcPr>
            <w:tcW w:w="823" w:type="dxa"/>
            <w:vMerge w:val="restart"/>
            <w:vAlign w:val="center"/>
          </w:tcPr>
          <w:p>
            <w:pPr>
              <w:spacing w:line="270" w:lineRule="exact"/>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人民政府</w:t>
            </w:r>
          </w:p>
        </w:tc>
        <w:tc>
          <w:tcPr>
            <w:tcW w:w="7412" w:type="dxa"/>
            <w:vMerge w:val="restart"/>
            <w:vAlign w:val="center"/>
          </w:tcPr>
          <w:p>
            <w:pPr>
              <w:widowControl/>
              <w:spacing w:line="27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【地方性法规】《宁夏回族自治区法制宣传教育条例》（2005年）</w:t>
            </w:r>
          </w:p>
          <w:p>
            <w:pPr>
              <w:spacing w:line="270" w:lineRule="exact"/>
              <w:ind w:firstLine="420" w:firstLineChars="200"/>
              <w:jc w:val="left"/>
              <w:rPr>
                <w:rFonts w:hint="eastAsia" w:ascii="仿宋_GB2312" w:eastAsia="仿宋_GB2312" w:cs="仿宋_GB2312"/>
                <w:color w:val="auto"/>
                <w:szCs w:val="21"/>
              </w:rPr>
            </w:pPr>
            <w:r>
              <w:rPr>
                <w:rFonts w:hint="eastAsia" w:ascii="仿宋_GB2312" w:hAnsi="仿宋_GB2312" w:eastAsia="仿宋_GB2312" w:cs="仿宋_GB2312"/>
                <w:color w:val="auto"/>
                <w:szCs w:val="21"/>
              </w:rPr>
              <w:t xml:space="preserve">第二十九条  </w:t>
            </w:r>
            <w:r>
              <w:rPr>
                <w:rFonts w:hint="eastAsia" w:ascii="仿宋_GB2312" w:hAnsi="仿宋_GB2312" w:eastAsia="仿宋_GB2312" w:cs="仿宋_GB2312"/>
                <w:color w:val="auto"/>
                <w:kern w:val="0"/>
                <w:szCs w:val="21"/>
              </w:rPr>
              <w:t>县级以上人民政府对在法制宣传教育工作中做出显著成绩的组织或者个人，应当给予表彰、奖励。</w:t>
            </w:r>
          </w:p>
        </w:tc>
        <w:tc>
          <w:tcPr>
            <w:tcW w:w="953" w:type="dxa"/>
            <w:vAlign w:val="center"/>
          </w:tcPr>
          <w:p>
            <w:pPr>
              <w:spacing w:line="270" w:lineRule="exact"/>
              <w:jc w:val="center"/>
              <w:rPr>
                <w:rFonts w:hint="eastAsia" w:ascii="仿宋_GB2312" w:eastAsia="仿宋_GB2312" w:cs="仿宋_GB2312"/>
                <w:color w:val="auto"/>
                <w:szCs w:val="21"/>
              </w:rPr>
            </w:pPr>
            <w:r>
              <w:rPr>
                <w:rFonts w:hint="eastAsia" w:ascii="仿宋_GB2312" w:hAnsi="仿宋_GB2312" w:eastAsia="仿宋_GB2312" w:cs="仿宋_GB2312"/>
                <w:color w:val="auto"/>
                <w:kern w:val="0"/>
                <w:szCs w:val="21"/>
              </w:rPr>
              <w:t>自治区</w:t>
            </w:r>
          </w:p>
        </w:tc>
        <w:tc>
          <w:tcPr>
            <w:tcW w:w="2690" w:type="dxa"/>
            <w:vAlign w:val="center"/>
          </w:tcPr>
          <w:p>
            <w:pPr>
              <w:spacing w:line="270" w:lineRule="exact"/>
              <w:jc w:val="left"/>
              <w:rPr>
                <w:rFonts w:hint="eastAsia" w:ascii="仿宋_GB2312" w:eastAsia="仿宋_GB2312" w:cs="仿宋_GB2312"/>
                <w:color w:val="auto"/>
                <w:szCs w:val="21"/>
              </w:rPr>
            </w:pPr>
            <w:r>
              <w:rPr>
                <w:rFonts w:hint="eastAsia" w:ascii="仿宋_GB2312" w:hAnsi="仿宋_GB2312" w:eastAsia="仿宋_GB2312" w:cs="仿宋_GB2312"/>
                <w:color w:val="auto"/>
                <w:kern w:val="0"/>
                <w:szCs w:val="21"/>
              </w:rPr>
              <w:t>对组织或者个人，给予表彰、奖励。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jc w:val="center"/>
        </w:trPr>
        <w:tc>
          <w:tcPr>
            <w:tcW w:w="714" w:type="dxa"/>
            <w:vMerge w:val="continue"/>
            <w:vAlign w:val="center"/>
          </w:tcPr>
          <w:p>
            <w:pPr>
              <w:spacing w:line="270" w:lineRule="exact"/>
              <w:rPr>
                <w:rFonts w:hint="eastAsia" w:ascii="仿宋_GB2312" w:eastAsia="仿宋_GB2312"/>
                <w:color w:val="auto"/>
              </w:rPr>
            </w:pPr>
          </w:p>
        </w:tc>
        <w:tc>
          <w:tcPr>
            <w:tcW w:w="1148" w:type="dxa"/>
            <w:vMerge w:val="continue"/>
            <w:vAlign w:val="center"/>
          </w:tcPr>
          <w:p>
            <w:pPr>
              <w:spacing w:line="270" w:lineRule="exact"/>
              <w:rPr>
                <w:rFonts w:hint="eastAsia" w:ascii="仿宋_GB2312" w:eastAsia="仿宋_GB2312"/>
                <w:color w:val="auto"/>
              </w:rPr>
            </w:pPr>
          </w:p>
        </w:tc>
        <w:tc>
          <w:tcPr>
            <w:tcW w:w="775" w:type="dxa"/>
            <w:vMerge w:val="continue"/>
            <w:vAlign w:val="center"/>
          </w:tcPr>
          <w:p>
            <w:pPr>
              <w:spacing w:line="270" w:lineRule="exact"/>
              <w:rPr>
                <w:rFonts w:hint="eastAsia" w:ascii="仿宋_GB2312" w:eastAsia="仿宋_GB2312"/>
                <w:color w:val="auto"/>
              </w:rPr>
            </w:pPr>
          </w:p>
        </w:tc>
        <w:tc>
          <w:tcPr>
            <w:tcW w:w="823" w:type="dxa"/>
            <w:vMerge w:val="continue"/>
            <w:vAlign w:val="center"/>
          </w:tcPr>
          <w:p>
            <w:pPr>
              <w:spacing w:line="270" w:lineRule="exact"/>
              <w:rPr>
                <w:rFonts w:hint="eastAsia" w:ascii="仿宋_GB2312" w:eastAsia="仿宋_GB2312"/>
                <w:color w:val="auto"/>
              </w:rPr>
            </w:pPr>
          </w:p>
        </w:tc>
        <w:tc>
          <w:tcPr>
            <w:tcW w:w="7412" w:type="dxa"/>
            <w:vMerge w:val="continue"/>
            <w:vAlign w:val="center"/>
          </w:tcPr>
          <w:p>
            <w:pPr>
              <w:spacing w:line="270" w:lineRule="exact"/>
              <w:rPr>
                <w:rFonts w:hint="eastAsia" w:ascii="仿宋_GB2312" w:eastAsia="仿宋_GB2312"/>
                <w:color w:val="auto"/>
              </w:rPr>
            </w:pPr>
          </w:p>
        </w:tc>
        <w:tc>
          <w:tcPr>
            <w:tcW w:w="953" w:type="dxa"/>
            <w:vAlign w:val="center"/>
          </w:tcPr>
          <w:p>
            <w:pPr>
              <w:spacing w:line="270" w:lineRule="exact"/>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设区</w:t>
            </w:r>
          </w:p>
          <w:p>
            <w:pPr>
              <w:spacing w:line="270" w:lineRule="exact"/>
              <w:jc w:val="center"/>
              <w:rPr>
                <w:rFonts w:hint="eastAsia" w:ascii="仿宋_GB2312" w:eastAsia="仿宋_GB2312" w:cs="仿宋_GB2312"/>
                <w:color w:val="auto"/>
                <w:kern w:val="0"/>
                <w:szCs w:val="21"/>
              </w:rPr>
            </w:pPr>
            <w:r>
              <w:rPr>
                <w:rFonts w:hint="eastAsia" w:ascii="仿宋_GB2312" w:hAnsi="仿宋_GB2312" w:eastAsia="仿宋_GB2312" w:cs="仿宋_GB2312"/>
                <w:color w:val="auto"/>
                <w:kern w:val="0"/>
                <w:szCs w:val="21"/>
              </w:rPr>
              <w:t>的市</w:t>
            </w:r>
          </w:p>
        </w:tc>
        <w:tc>
          <w:tcPr>
            <w:tcW w:w="2690" w:type="dxa"/>
            <w:vAlign w:val="center"/>
          </w:tcPr>
          <w:p>
            <w:pPr>
              <w:spacing w:line="270" w:lineRule="exact"/>
              <w:rPr>
                <w:rFonts w:hint="eastAsia" w:ascii="仿宋_GB2312" w:eastAsia="仿宋_GB2312" w:cs="仿宋_GB2312"/>
                <w:color w:val="auto"/>
                <w:kern w:val="0"/>
                <w:szCs w:val="21"/>
              </w:rPr>
            </w:pPr>
            <w:r>
              <w:rPr>
                <w:rFonts w:hint="eastAsia" w:ascii="仿宋_GB2312" w:hAnsi="仿宋_GB2312" w:eastAsia="仿宋_GB2312" w:cs="仿宋_GB2312"/>
                <w:color w:val="auto"/>
                <w:kern w:val="0"/>
                <w:szCs w:val="21"/>
              </w:rPr>
              <w:t>对组织或者个人，给予表彰、奖励。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jc w:val="center"/>
        </w:trPr>
        <w:tc>
          <w:tcPr>
            <w:tcW w:w="714" w:type="dxa"/>
            <w:vMerge w:val="continue"/>
            <w:vAlign w:val="center"/>
          </w:tcPr>
          <w:p>
            <w:pPr>
              <w:spacing w:line="270" w:lineRule="exact"/>
              <w:rPr>
                <w:rFonts w:hint="eastAsia" w:ascii="仿宋_GB2312" w:eastAsia="仿宋_GB2312" w:cs="仿宋_GB2312"/>
                <w:color w:val="auto"/>
                <w:kern w:val="0"/>
                <w:szCs w:val="21"/>
              </w:rPr>
            </w:pPr>
          </w:p>
        </w:tc>
        <w:tc>
          <w:tcPr>
            <w:tcW w:w="1148" w:type="dxa"/>
            <w:vMerge w:val="continue"/>
            <w:vAlign w:val="center"/>
          </w:tcPr>
          <w:p>
            <w:pPr>
              <w:spacing w:line="270" w:lineRule="exact"/>
              <w:rPr>
                <w:rFonts w:hint="eastAsia" w:ascii="仿宋_GB2312" w:eastAsia="仿宋_GB2312" w:cs="仿宋_GB2312"/>
                <w:color w:val="auto"/>
                <w:kern w:val="0"/>
                <w:szCs w:val="21"/>
              </w:rPr>
            </w:pPr>
          </w:p>
        </w:tc>
        <w:tc>
          <w:tcPr>
            <w:tcW w:w="775" w:type="dxa"/>
            <w:vMerge w:val="continue"/>
            <w:vAlign w:val="center"/>
          </w:tcPr>
          <w:p>
            <w:pPr>
              <w:spacing w:line="270" w:lineRule="exact"/>
              <w:rPr>
                <w:rFonts w:hint="eastAsia" w:ascii="仿宋_GB2312" w:eastAsia="仿宋_GB2312" w:cs="仿宋_GB2312"/>
                <w:color w:val="auto"/>
                <w:kern w:val="0"/>
                <w:szCs w:val="21"/>
              </w:rPr>
            </w:pPr>
          </w:p>
        </w:tc>
        <w:tc>
          <w:tcPr>
            <w:tcW w:w="823" w:type="dxa"/>
            <w:vMerge w:val="continue"/>
            <w:vAlign w:val="center"/>
          </w:tcPr>
          <w:p>
            <w:pPr>
              <w:spacing w:line="270" w:lineRule="exact"/>
              <w:rPr>
                <w:rFonts w:hint="eastAsia" w:ascii="仿宋_GB2312" w:eastAsia="仿宋_GB2312" w:cs="仿宋_GB2312"/>
                <w:color w:val="auto"/>
                <w:kern w:val="0"/>
                <w:szCs w:val="21"/>
              </w:rPr>
            </w:pPr>
          </w:p>
        </w:tc>
        <w:tc>
          <w:tcPr>
            <w:tcW w:w="7412" w:type="dxa"/>
            <w:vMerge w:val="continue"/>
            <w:vAlign w:val="center"/>
          </w:tcPr>
          <w:p>
            <w:pPr>
              <w:spacing w:line="270" w:lineRule="exact"/>
              <w:rPr>
                <w:rFonts w:hint="eastAsia" w:ascii="仿宋_GB2312" w:eastAsia="仿宋_GB2312" w:cs="仿宋_GB2312"/>
                <w:color w:val="auto"/>
                <w:kern w:val="0"/>
                <w:szCs w:val="21"/>
              </w:rPr>
            </w:pPr>
          </w:p>
        </w:tc>
        <w:tc>
          <w:tcPr>
            <w:tcW w:w="953" w:type="dxa"/>
            <w:vAlign w:val="center"/>
          </w:tcPr>
          <w:p>
            <w:pPr>
              <w:spacing w:line="270" w:lineRule="exact"/>
              <w:jc w:val="center"/>
              <w:rPr>
                <w:rFonts w:hint="eastAsia" w:ascii="仿宋_GB2312" w:eastAsia="仿宋_GB2312" w:cs="仿宋_GB2312"/>
                <w:color w:val="auto"/>
                <w:kern w:val="0"/>
                <w:szCs w:val="21"/>
              </w:rPr>
            </w:pPr>
            <w:r>
              <w:rPr>
                <w:rFonts w:hint="eastAsia" w:ascii="仿宋_GB2312" w:hAnsi="仿宋_GB2312" w:eastAsia="仿宋_GB2312" w:cs="仿宋_GB2312"/>
                <w:color w:val="auto"/>
                <w:kern w:val="0"/>
                <w:szCs w:val="21"/>
              </w:rPr>
              <w:t>县级</w:t>
            </w:r>
          </w:p>
        </w:tc>
        <w:tc>
          <w:tcPr>
            <w:tcW w:w="2690" w:type="dxa"/>
            <w:vAlign w:val="center"/>
          </w:tcPr>
          <w:p>
            <w:pPr>
              <w:spacing w:line="270" w:lineRule="exact"/>
              <w:rPr>
                <w:rFonts w:hint="eastAsia" w:ascii="仿宋_GB2312" w:eastAsia="仿宋_GB2312" w:cs="仿宋_GB2312"/>
                <w:color w:val="auto"/>
                <w:kern w:val="0"/>
                <w:szCs w:val="21"/>
              </w:rPr>
            </w:pPr>
            <w:r>
              <w:rPr>
                <w:rFonts w:hint="eastAsia" w:ascii="仿宋_GB2312" w:hAnsi="仿宋_GB2312" w:eastAsia="仿宋_GB2312" w:cs="仿宋_GB2312"/>
                <w:color w:val="auto"/>
                <w:kern w:val="0"/>
                <w:szCs w:val="21"/>
              </w:rPr>
              <w:t>对组织或者个人，给予表彰、奖励。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0" w:hRule="atLeast"/>
          <w:jc w:val="center"/>
        </w:trPr>
        <w:tc>
          <w:tcPr>
            <w:tcW w:w="714" w:type="dxa"/>
            <w:vMerge w:val="restart"/>
            <w:vAlign w:val="center"/>
          </w:tcPr>
          <w:p>
            <w:pPr>
              <w:spacing w:line="270" w:lineRule="exact"/>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5</w:t>
            </w:r>
          </w:p>
        </w:tc>
        <w:tc>
          <w:tcPr>
            <w:tcW w:w="1148" w:type="dxa"/>
            <w:vMerge w:val="restart"/>
            <w:vAlign w:val="center"/>
          </w:tcPr>
          <w:p>
            <w:pPr>
              <w:spacing w:line="270" w:lineRule="exact"/>
              <w:rPr>
                <w:rFonts w:hint="eastAsia" w:ascii="仿宋_GB2312" w:eastAsia="仿宋_GB2312" w:cs="仿宋_GB2312"/>
                <w:color w:val="auto"/>
                <w:szCs w:val="21"/>
              </w:rPr>
            </w:pPr>
            <w:r>
              <w:rPr>
                <w:rFonts w:hint="eastAsia" w:ascii="仿宋_GB2312" w:hAnsi="仿宋_GB2312" w:eastAsia="仿宋_GB2312" w:cs="仿宋_GB2312"/>
                <w:color w:val="auto"/>
                <w:szCs w:val="21"/>
              </w:rPr>
              <w:t>对律师事务所和律师的表彰</w:t>
            </w:r>
          </w:p>
        </w:tc>
        <w:tc>
          <w:tcPr>
            <w:tcW w:w="775" w:type="dxa"/>
            <w:vMerge w:val="restart"/>
            <w:vAlign w:val="center"/>
          </w:tcPr>
          <w:p>
            <w:pPr>
              <w:spacing w:line="270" w:lineRule="exact"/>
              <w:rPr>
                <w:rFonts w:hint="eastAsia" w:ascii="仿宋_GB2312" w:eastAsia="仿宋_GB2312" w:cs="仿宋_GB2312"/>
                <w:color w:val="auto"/>
                <w:szCs w:val="21"/>
              </w:rPr>
            </w:pPr>
            <w:r>
              <w:rPr>
                <w:rFonts w:hint="eastAsia" w:ascii="仿宋_GB2312" w:eastAsia="仿宋_GB2312" w:cs="仿宋_GB2312"/>
                <w:color w:val="auto"/>
                <w:szCs w:val="21"/>
              </w:rPr>
              <w:t>0809005000</w:t>
            </w:r>
          </w:p>
        </w:tc>
        <w:tc>
          <w:tcPr>
            <w:tcW w:w="823" w:type="dxa"/>
            <w:vMerge w:val="restart"/>
            <w:vAlign w:val="center"/>
          </w:tcPr>
          <w:p>
            <w:pPr>
              <w:spacing w:line="270" w:lineRule="exact"/>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自治区司法厅</w:t>
            </w:r>
          </w:p>
        </w:tc>
        <w:tc>
          <w:tcPr>
            <w:tcW w:w="7412" w:type="dxa"/>
            <w:vMerge w:val="restart"/>
            <w:vAlign w:val="center"/>
          </w:tcPr>
          <w:p>
            <w:pPr>
              <w:spacing w:line="270" w:lineRule="exact"/>
              <w:ind w:firstLine="420" w:firstLineChars="200"/>
              <w:jc w:val="left"/>
              <w:rPr>
                <w:rFonts w:ascii="仿宋_GB2312" w:eastAsia="仿宋_GB2312" w:cs="仿宋_GB2312"/>
                <w:color w:val="auto"/>
                <w:szCs w:val="21"/>
              </w:rPr>
            </w:pPr>
            <w:r>
              <w:rPr>
                <w:rFonts w:hint="eastAsia" w:ascii="仿宋_GB2312" w:hAnsi="仿宋_GB2312" w:eastAsia="仿宋_GB2312" w:cs="仿宋_GB2312"/>
                <w:color w:val="auto"/>
                <w:szCs w:val="21"/>
              </w:rPr>
              <w:t>【部门规章】《律师事务所管理办法》（</w:t>
            </w:r>
            <w:r>
              <w:rPr>
                <w:rFonts w:ascii="仿宋_GB2312" w:hAnsi="仿宋_GB2312" w:eastAsia="仿宋_GB2312" w:cs="仿宋_GB2312"/>
                <w:color w:val="auto"/>
                <w:szCs w:val="21"/>
              </w:rPr>
              <w:t>201</w:t>
            </w:r>
            <w:r>
              <w:rPr>
                <w:rFonts w:hint="eastAsia" w:ascii="仿宋_GB2312" w:hAnsi="仿宋_GB2312" w:eastAsia="仿宋_GB2312" w:cs="仿宋_GB2312"/>
                <w:color w:val="auto"/>
                <w:szCs w:val="21"/>
                <w:lang w:val="en-US" w:eastAsia="zh-CN"/>
              </w:rPr>
              <w:t>8</w:t>
            </w:r>
            <w:r>
              <w:rPr>
                <w:rFonts w:hint="eastAsia" w:ascii="仿宋_GB2312" w:hAnsi="仿宋_GB2312" w:eastAsia="仿宋_GB2312" w:cs="仿宋_GB2312"/>
                <w:color w:val="auto"/>
                <w:szCs w:val="21"/>
              </w:rPr>
              <w:t>年司法部令</w:t>
            </w:r>
            <w:r>
              <w:rPr>
                <w:rFonts w:hint="eastAsia" w:ascii="仿宋_GB2312" w:hAnsi="仿宋_GB2312" w:eastAsia="仿宋_GB2312" w:cs="仿宋_GB2312"/>
                <w:color w:val="auto"/>
                <w:szCs w:val="21"/>
                <w:lang w:val="en-US" w:eastAsia="zh-CN"/>
              </w:rPr>
              <w:t>142</w:t>
            </w:r>
            <w:r>
              <w:rPr>
                <w:rFonts w:hint="eastAsia" w:ascii="仿宋_GB2312" w:hAnsi="仿宋_GB2312" w:eastAsia="仿宋_GB2312" w:cs="仿宋_GB2312"/>
                <w:color w:val="auto"/>
                <w:szCs w:val="21"/>
              </w:rPr>
              <w:t>号修正）</w:t>
            </w:r>
          </w:p>
          <w:p>
            <w:pPr>
              <w:spacing w:line="270" w:lineRule="exact"/>
              <w:ind w:firstLine="420" w:firstLineChars="200"/>
              <w:jc w:val="left"/>
              <w:rPr>
                <w:rFonts w:ascii="仿宋_GB2312" w:eastAsia="仿宋_GB2312" w:cs="仿宋_GB2312"/>
                <w:color w:val="auto"/>
                <w:szCs w:val="21"/>
              </w:rPr>
            </w:pPr>
            <w:r>
              <w:rPr>
                <w:rFonts w:hint="eastAsia" w:ascii="仿宋_GB2312" w:hAnsi="仿宋_GB2312" w:eastAsia="仿宋_GB2312" w:cs="仿宋_GB2312"/>
                <w:color w:val="auto"/>
                <w:szCs w:val="21"/>
              </w:rPr>
              <w:t>第六十五条</w:t>
            </w:r>
            <w:r>
              <w:rPr>
                <w:rFonts w:ascii="仿宋_GB2312" w:hAnsi="仿宋_GB2312" w:eastAsia="仿宋_GB2312" w:cs="仿宋_GB2312"/>
                <w:color w:val="auto"/>
                <w:szCs w:val="21"/>
              </w:rPr>
              <w:t xml:space="preserve"> </w:t>
            </w:r>
            <w:r>
              <w:rPr>
                <w:rFonts w:hint="eastAsia" w:ascii="仿宋_GB2312" w:hAnsi="仿宋_GB2312" w:eastAsia="仿宋_GB2312" w:cs="仿宋_GB2312"/>
                <w:color w:val="auto"/>
                <w:szCs w:val="21"/>
              </w:rPr>
              <w:t>设区的市级司法行政机关履行下列监督管理职责：</w:t>
            </w:r>
          </w:p>
          <w:p>
            <w:pPr>
              <w:spacing w:line="270" w:lineRule="exact"/>
              <w:ind w:firstLine="420" w:firstLineChars="200"/>
              <w:jc w:val="left"/>
              <w:rPr>
                <w:rFonts w:ascii="仿宋_GB2312" w:eastAsia="仿宋_GB2312" w:cs="仿宋_GB2312"/>
                <w:color w:val="auto"/>
                <w:szCs w:val="21"/>
              </w:rPr>
            </w:pPr>
            <w:r>
              <w:rPr>
                <w:rFonts w:hint="eastAsia" w:ascii="仿宋_GB2312" w:hAnsi="仿宋_GB2312" w:eastAsia="仿宋_GB2312" w:cs="仿宋_GB2312"/>
                <w:color w:val="auto"/>
                <w:szCs w:val="21"/>
              </w:rPr>
              <w:t>（三）对律师事务所进行表彰</w:t>
            </w:r>
          </w:p>
          <w:p>
            <w:pPr>
              <w:spacing w:line="270" w:lineRule="exact"/>
              <w:ind w:firstLine="420" w:firstLineChars="200"/>
              <w:jc w:val="left"/>
              <w:rPr>
                <w:rFonts w:ascii="仿宋_GB2312" w:eastAsia="仿宋_GB2312" w:cs="仿宋_GB2312"/>
                <w:color w:val="auto"/>
                <w:szCs w:val="21"/>
              </w:rPr>
            </w:pPr>
            <w:r>
              <w:rPr>
                <w:rFonts w:hint="eastAsia" w:ascii="仿宋_GB2312" w:hAnsi="仿宋_GB2312" w:eastAsia="仿宋_GB2312" w:cs="仿宋_GB2312"/>
                <w:color w:val="auto"/>
                <w:szCs w:val="21"/>
              </w:rPr>
              <w:t>【部门规章】《律师执业管理办法》（</w:t>
            </w:r>
            <w:r>
              <w:rPr>
                <w:rFonts w:ascii="仿宋_GB2312" w:hAnsi="仿宋_GB2312" w:eastAsia="仿宋_GB2312" w:cs="仿宋_GB2312"/>
                <w:color w:val="auto"/>
                <w:szCs w:val="21"/>
              </w:rPr>
              <w:t>2016</w:t>
            </w:r>
            <w:r>
              <w:rPr>
                <w:rFonts w:hint="eastAsia" w:ascii="仿宋_GB2312" w:hAnsi="仿宋_GB2312" w:eastAsia="仿宋_GB2312" w:cs="仿宋_GB2312"/>
                <w:color w:val="auto"/>
                <w:szCs w:val="21"/>
              </w:rPr>
              <w:t>年司法部令</w:t>
            </w:r>
            <w:r>
              <w:rPr>
                <w:rFonts w:ascii="仿宋_GB2312" w:hAnsi="仿宋_GB2312" w:eastAsia="仿宋_GB2312" w:cs="仿宋_GB2312"/>
                <w:color w:val="auto"/>
                <w:szCs w:val="21"/>
              </w:rPr>
              <w:t>13</w:t>
            </w:r>
            <w:r>
              <w:rPr>
                <w:rFonts w:hint="eastAsia" w:ascii="仿宋_GB2312" w:hAnsi="仿宋_GB2312" w:eastAsia="仿宋_GB2312" w:cs="仿宋_GB2312"/>
                <w:color w:val="auto"/>
                <w:szCs w:val="21"/>
                <w:lang w:val="en-US" w:eastAsia="zh-CN"/>
              </w:rPr>
              <w:t>4</w:t>
            </w:r>
            <w:r>
              <w:rPr>
                <w:rFonts w:hint="eastAsia" w:ascii="仿宋_GB2312" w:hAnsi="仿宋_GB2312" w:eastAsia="仿宋_GB2312" w:cs="仿宋_GB2312"/>
                <w:color w:val="auto"/>
                <w:szCs w:val="21"/>
              </w:rPr>
              <w:t>号修正）</w:t>
            </w:r>
          </w:p>
          <w:p>
            <w:pPr>
              <w:spacing w:line="270" w:lineRule="exact"/>
              <w:ind w:firstLine="420" w:firstLineChars="200"/>
              <w:jc w:val="left"/>
              <w:rPr>
                <w:rFonts w:ascii="仿宋_GB2312" w:eastAsia="仿宋_GB2312" w:cs="仿宋_GB2312"/>
                <w:color w:val="auto"/>
                <w:szCs w:val="21"/>
              </w:rPr>
            </w:pPr>
            <w:r>
              <w:rPr>
                <w:rFonts w:hint="eastAsia" w:ascii="仿宋_GB2312" w:hAnsi="仿宋_GB2312" w:eastAsia="仿宋_GB2312" w:cs="仿宋_GB2312"/>
                <w:color w:val="auto"/>
                <w:szCs w:val="21"/>
              </w:rPr>
              <w:t>第</w:t>
            </w:r>
            <w:r>
              <w:rPr>
                <w:rFonts w:hint="eastAsia" w:ascii="仿宋_GB2312" w:hAnsi="仿宋_GB2312" w:eastAsia="仿宋_GB2312" w:cs="仿宋_GB2312"/>
                <w:color w:val="auto"/>
                <w:szCs w:val="21"/>
                <w:lang w:eastAsia="zh-CN"/>
              </w:rPr>
              <w:t>五十一</w:t>
            </w:r>
            <w:r>
              <w:rPr>
                <w:rFonts w:hint="eastAsia" w:ascii="仿宋_GB2312" w:hAnsi="仿宋_GB2312" w:eastAsia="仿宋_GB2312" w:cs="仿宋_GB2312"/>
                <w:color w:val="auto"/>
                <w:szCs w:val="21"/>
              </w:rPr>
              <w:t>条</w:t>
            </w:r>
            <w:r>
              <w:rPr>
                <w:rFonts w:ascii="仿宋_GB2312" w:hAnsi="仿宋_GB2312" w:eastAsia="仿宋_GB2312" w:cs="仿宋_GB2312"/>
                <w:color w:val="auto"/>
                <w:szCs w:val="21"/>
              </w:rPr>
              <w:t xml:space="preserve"> </w:t>
            </w:r>
            <w:r>
              <w:rPr>
                <w:rFonts w:hint="eastAsia" w:ascii="仿宋_GB2312" w:hAnsi="仿宋_GB2312" w:eastAsia="仿宋_GB2312" w:cs="仿宋_GB2312"/>
                <w:color w:val="auto"/>
                <w:szCs w:val="21"/>
              </w:rPr>
              <w:t>设区的市级司法行政机关履行下列监督管理职责：（三）对律师进行表彰</w:t>
            </w:r>
          </w:p>
          <w:p>
            <w:pPr>
              <w:spacing w:line="270" w:lineRule="exact"/>
              <w:ind w:firstLine="420" w:firstLineChars="200"/>
              <w:jc w:val="left"/>
              <w:rPr>
                <w:rFonts w:hint="eastAsia" w:ascii="仿宋_GB2312" w:eastAsia="仿宋_GB2312" w:cs="仿宋_GB2312"/>
                <w:color w:val="auto"/>
                <w:szCs w:val="21"/>
              </w:rPr>
            </w:pPr>
            <w:r>
              <w:rPr>
                <w:rFonts w:hint="eastAsia" w:ascii="仿宋_GB2312" w:hAnsi="仿宋_GB2312" w:eastAsia="仿宋_GB2312" w:cs="仿宋_GB2312"/>
                <w:color w:val="auto"/>
                <w:szCs w:val="21"/>
              </w:rPr>
              <w:t>第五十二条省、自治区、直辖市司法行政机关履行下列监督管理职责：（三）组织对律师的表彰活动</w:t>
            </w:r>
          </w:p>
        </w:tc>
        <w:tc>
          <w:tcPr>
            <w:tcW w:w="953" w:type="dxa"/>
            <w:vAlign w:val="center"/>
          </w:tcPr>
          <w:p>
            <w:pPr>
              <w:spacing w:line="270" w:lineRule="exact"/>
              <w:jc w:val="center"/>
              <w:rPr>
                <w:rFonts w:hint="eastAsia" w:ascii="仿宋_GB2312" w:eastAsia="仿宋_GB2312" w:cs="仿宋_GB2312"/>
                <w:color w:val="auto"/>
                <w:szCs w:val="21"/>
              </w:rPr>
            </w:pPr>
            <w:r>
              <w:rPr>
                <w:rFonts w:hint="eastAsia" w:ascii="仿宋_GB2312" w:hAnsi="仿宋_GB2312" w:eastAsia="仿宋_GB2312" w:cs="仿宋_GB2312"/>
                <w:color w:val="auto"/>
                <w:vertAlign w:val="baseline"/>
                <w:lang w:val="en-US" w:eastAsia="zh-CN"/>
              </w:rPr>
              <w:t>自治区</w:t>
            </w:r>
          </w:p>
        </w:tc>
        <w:tc>
          <w:tcPr>
            <w:tcW w:w="2690" w:type="dxa"/>
            <w:vAlign w:val="center"/>
          </w:tcPr>
          <w:p>
            <w:pPr>
              <w:jc w:val="both"/>
              <w:rPr>
                <w:rFonts w:hint="eastAsia" w:ascii="仿宋_GB2312" w:eastAsia="仿宋_GB2312" w:cs="仿宋_GB2312"/>
                <w:color w:val="auto"/>
                <w:szCs w:val="21"/>
              </w:rPr>
            </w:pPr>
            <w:r>
              <w:rPr>
                <w:rFonts w:hint="eastAsia" w:ascii="仿宋_GB2312" w:hAnsi="仿宋_GB2312" w:eastAsia="仿宋_GB2312" w:cs="仿宋_GB2312"/>
                <w:color w:val="auto"/>
                <w:szCs w:val="21"/>
                <w:lang w:eastAsia="zh-CN"/>
              </w:rPr>
              <w:t>组织对</w:t>
            </w:r>
            <w:r>
              <w:rPr>
                <w:rFonts w:hint="eastAsia" w:ascii="仿宋_GB2312" w:hAnsi="仿宋_GB2312" w:eastAsia="仿宋_GB2312" w:cs="仿宋_GB2312"/>
                <w:color w:val="auto"/>
                <w:szCs w:val="21"/>
              </w:rPr>
              <w:t>律师</w:t>
            </w:r>
            <w:r>
              <w:rPr>
                <w:rFonts w:hint="eastAsia" w:ascii="仿宋_GB2312" w:hAnsi="仿宋_GB2312" w:eastAsia="仿宋_GB2312" w:cs="仿宋_GB2312"/>
                <w:color w:val="auto"/>
                <w:szCs w:val="21"/>
                <w:lang w:eastAsia="zh-CN"/>
              </w:rPr>
              <w:t>的</w:t>
            </w:r>
            <w:r>
              <w:rPr>
                <w:rFonts w:hint="eastAsia" w:ascii="仿宋_GB2312" w:hAnsi="仿宋_GB2312" w:eastAsia="仿宋_GB2312" w:cs="仿宋_GB2312"/>
                <w:color w:val="auto"/>
                <w:szCs w:val="21"/>
              </w:rPr>
              <w:t>表彰</w:t>
            </w:r>
            <w:r>
              <w:rPr>
                <w:rFonts w:hint="eastAsia" w:ascii="仿宋_GB2312" w:hAnsi="仿宋_GB2312" w:eastAsia="仿宋_GB2312" w:cs="仿宋_GB2312"/>
                <w:color w:val="auto"/>
                <w:szCs w:val="21"/>
                <w:lang w:eastAsia="zh-CN"/>
              </w:rPr>
              <w:t>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4" w:hRule="atLeast"/>
          <w:jc w:val="center"/>
        </w:trPr>
        <w:tc>
          <w:tcPr>
            <w:tcW w:w="714" w:type="dxa"/>
            <w:vMerge w:val="continue"/>
            <w:vAlign w:val="center"/>
          </w:tcPr>
          <w:p>
            <w:pPr>
              <w:spacing w:line="270" w:lineRule="exact"/>
              <w:rPr>
                <w:rFonts w:hint="eastAsia" w:ascii="仿宋_GB2312" w:eastAsia="仿宋_GB2312"/>
                <w:color w:val="auto"/>
              </w:rPr>
            </w:pPr>
          </w:p>
        </w:tc>
        <w:tc>
          <w:tcPr>
            <w:tcW w:w="1148" w:type="dxa"/>
            <w:vMerge w:val="continue"/>
            <w:vAlign w:val="center"/>
          </w:tcPr>
          <w:p>
            <w:pPr>
              <w:spacing w:line="270" w:lineRule="exact"/>
              <w:rPr>
                <w:rFonts w:hint="eastAsia" w:ascii="仿宋_GB2312" w:eastAsia="仿宋_GB2312"/>
                <w:color w:val="auto"/>
              </w:rPr>
            </w:pPr>
          </w:p>
        </w:tc>
        <w:tc>
          <w:tcPr>
            <w:tcW w:w="775" w:type="dxa"/>
            <w:vMerge w:val="continue"/>
            <w:vAlign w:val="center"/>
          </w:tcPr>
          <w:p>
            <w:pPr>
              <w:spacing w:line="270" w:lineRule="exact"/>
              <w:rPr>
                <w:rFonts w:hint="eastAsia" w:ascii="仿宋_GB2312" w:eastAsia="仿宋_GB2312"/>
                <w:color w:val="auto"/>
              </w:rPr>
            </w:pPr>
          </w:p>
        </w:tc>
        <w:tc>
          <w:tcPr>
            <w:tcW w:w="823" w:type="dxa"/>
            <w:vMerge w:val="continue"/>
            <w:vAlign w:val="center"/>
          </w:tcPr>
          <w:p>
            <w:pPr>
              <w:spacing w:line="270" w:lineRule="exact"/>
              <w:rPr>
                <w:rFonts w:hint="eastAsia" w:ascii="仿宋_GB2312" w:eastAsia="仿宋_GB2312"/>
                <w:color w:val="auto"/>
              </w:rPr>
            </w:pPr>
          </w:p>
        </w:tc>
        <w:tc>
          <w:tcPr>
            <w:tcW w:w="7412" w:type="dxa"/>
            <w:vMerge w:val="continue"/>
            <w:vAlign w:val="center"/>
          </w:tcPr>
          <w:p>
            <w:pPr>
              <w:spacing w:line="270" w:lineRule="exact"/>
              <w:rPr>
                <w:rFonts w:hint="eastAsia" w:ascii="仿宋_GB2312" w:eastAsia="仿宋_GB2312"/>
                <w:color w:val="auto"/>
              </w:rPr>
            </w:pPr>
          </w:p>
        </w:tc>
        <w:tc>
          <w:tcPr>
            <w:tcW w:w="953" w:type="dxa"/>
            <w:vAlign w:val="center"/>
          </w:tcPr>
          <w:p>
            <w:pPr>
              <w:spacing w:line="270" w:lineRule="exact"/>
              <w:jc w:val="center"/>
              <w:rPr>
                <w:rFonts w:hint="eastAsia" w:ascii="仿宋_GB2312" w:hAnsi="仿宋_GB2312" w:eastAsia="仿宋_GB2312" w:cs="仿宋_GB2312"/>
                <w:color w:val="auto"/>
                <w:vertAlign w:val="baseline"/>
                <w:lang w:val="en-US" w:eastAsia="zh-CN"/>
              </w:rPr>
            </w:pPr>
            <w:r>
              <w:rPr>
                <w:rFonts w:hint="eastAsia" w:ascii="仿宋_GB2312" w:hAnsi="仿宋_GB2312" w:eastAsia="仿宋_GB2312" w:cs="仿宋_GB2312"/>
                <w:color w:val="auto"/>
                <w:vertAlign w:val="baseline"/>
                <w:lang w:val="en-US" w:eastAsia="zh-CN"/>
              </w:rPr>
              <w:t>设区</w:t>
            </w:r>
          </w:p>
          <w:p>
            <w:pPr>
              <w:spacing w:line="270" w:lineRule="exact"/>
              <w:jc w:val="center"/>
              <w:rPr>
                <w:rFonts w:hint="eastAsia" w:ascii="仿宋_GB2312" w:eastAsia="仿宋_GB2312" w:cs="仿宋_GB2312"/>
                <w:color w:val="auto"/>
                <w:kern w:val="0"/>
                <w:szCs w:val="21"/>
              </w:rPr>
            </w:pPr>
            <w:r>
              <w:rPr>
                <w:rFonts w:hint="eastAsia" w:ascii="仿宋_GB2312" w:hAnsi="仿宋_GB2312" w:eastAsia="仿宋_GB2312" w:cs="仿宋_GB2312"/>
                <w:color w:val="auto"/>
                <w:vertAlign w:val="baseline"/>
                <w:lang w:val="en-US" w:eastAsia="zh-CN"/>
              </w:rPr>
              <w:t>的市</w:t>
            </w:r>
          </w:p>
        </w:tc>
        <w:tc>
          <w:tcPr>
            <w:tcW w:w="2690" w:type="dxa"/>
            <w:vAlign w:val="center"/>
          </w:tcPr>
          <w:p>
            <w:pPr>
              <w:spacing w:line="270" w:lineRule="exact"/>
              <w:jc w:val="center"/>
              <w:rPr>
                <w:rFonts w:hint="eastAsia" w:ascii="仿宋_GB2312" w:eastAsia="仿宋_GB2312" w:cs="仿宋_GB2312"/>
                <w:color w:val="auto"/>
                <w:kern w:val="0"/>
                <w:szCs w:val="21"/>
              </w:rPr>
            </w:pPr>
            <w:r>
              <w:rPr>
                <w:rFonts w:hint="eastAsia" w:ascii="仿宋_GB2312" w:hAnsi="仿宋_GB2312" w:eastAsia="仿宋_GB2312" w:cs="仿宋_GB2312"/>
                <w:color w:val="auto"/>
                <w:vertAlign w:val="baseline"/>
                <w:lang w:val="en-US" w:eastAsia="zh-CN"/>
              </w:rPr>
              <w:t>对律师事务所和律师进行表彰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9" w:hRule="atLeast"/>
          <w:jc w:val="center"/>
        </w:trPr>
        <w:tc>
          <w:tcPr>
            <w:tcW w:w="714" w:type="dxa"/>
            <w:vMerge w:val="restart"/>
            <w:vAlign w:val="center"/>
          </w:tcPr>
          <w:p>
            <w:pPr>
              <w:spacing w:line="270" w:lineRule="exact"/>
              <w:jc w:val="center"/>
              <w:rPr>
                <w:rFonts w:hint="eastAsia" w:ascii="仿宋_GB2312" w:eastAsia="仿宋_GB2312"/>
                <w:color w:val="auto"/>
                <w:lang w:val="en-US" w:eastAsia="zh-CN"/>
              </w:rPr>
            </w:pPr>
            <w:r>
              <w:rPr>
                <w:rFonts w:hint="eastAsia" w:ascii="仿宋_GB2312" w:eastAsia="仿宋_GB2312"/>
                <w:color w:val="auto"/>
                <w:lang w:val="en-US" w:eastAsia="zh-CN"/>
              </w:rPr>
              <w:t>6</w:t>
            </w:r>
          </w:p>
        </w:tc>
        <w:tc>
          <w:tcPr>
            <w:tcW w:w="1148" w:type="dxa"/>
            <w:vMerge w:val="restart"/>
            <w:vAlign w:val="center"/>
          </w:tcPr>
          <w:p>
            <w:pPr>
              <w:jc w:val="both"/>
              <w:rPr>
                <w:rFonts w:hint="eastAsia" w:ascii="仿宋_GB2312" w:eastAsia="仿宋_GB2312"/>
                <w:color w:val="auto"/>
              </w:rPr>
            </w:pPr>
            <w:r>
              <w:rPr>
                <w:rFonts w:hint="eastAsia" w:ascii="仿宋_GB2312" w:hAnsi="仿宋_GB2312" w:eastAsia="仿宋_GB2312" w:cs="仿宋_GB2312"/>
                <w:color w:val="auto"/>
                <w:vertAlign w:val="baseline"/>
                <w:lang w:val="en-US" w:eastAsia="zh-CN"/>
              </w:rPr>
              <w:t>对有突出贡献的人民调解委员会及优秀调解员的奖励和表彰</w:t>
            </w:r>
          </w:p>
        </w:tc>
        <w:tc>
          <w:tcPr>
            <w:tcW w:w="775" w:type="dxa"/>
            <w:vMerge w:val="restart"/>
            <w:vAlign w:val="center"/>
          </w:tcPr>
          <w:p>
            <w:pPr>
              <w:jc w:val="both"/>
              <w:rPr>
                <w:rFonts w:hint="eastAsia" w:ascii="仿宋_GB2312" w:eastAsia="仿宋_GB2312"/>
                <w:color w:val="auto"/>
              </w:rPr>
            </w:pPr>
            <w:r>
              <w:rPr>
                <w:rFonts w:hint="eastAsia" w:ascii="仿宋_GB2312" w:hAnsi="仿宋_GB2312" w:eastAsia="仿宋_GB2312" w:cs="仿宋_GB2312"/>
                <w:color w:val="auto"/>
                <w:szCs w:val="21"/>
              </w:rPr>
              <w:t>0809006000</w:t>
            </w:r>
          </w:p>
        </w:tc>
        <w:tc>
          <w:tcPr>
            <w:tcW w:w="823" w:type="dxa"/>
            <w:vMerge w:val="restart"/>
            <w:vAlign w:val="center"/>
          </w:tcPr>
          <w:p>
            <w:pPr>
              <w:jc w:val="center"/>
              <w:rPr>
                <w:rFonts w:hint="eastAsia" w:ascii="仿宋_GB2312" w:eastAsia="仿宋_GB2312"/>
                <w:color w:val="auto"/>
              </w:rPr>
            </w:pPr>
            <w:r>
              <w:rPr>
                <w:rFonts w:hint="eastAsia" w:ascii="仿宋_GB2312" w:hAnsi="仿宋_GB2312" w:eastAsia="仿宋_GB2312" w:cs="仿宋_GB2312"/>
                <w:color w:val="auto"/>
                <w:vertAlign w:val="baseline"/>
                <w:lang w:val="en-US" w:eastAsia="zh-CN"/>
              </w:rPr>
              <w:t>人民政府</w:t>
            </w:r>
          </w:p>
        </w:tc>
        <w:tc>
          <w:tcPr>
            <w:tcW w:w="7412" w:type="dxa"/>
            <w:vMerge w:val="restart"/>
            <w:vAlign w:val="center"/>
          </w:tcPr>
          <w:p>
            <w:pPr>
              <w:widowControl/>
              <w:spacing w:line="270" w:lineRule="exact"/>
              <w:ind w:firstLine="420" w:firstLineChars="200"/>
              <w:jc w:val="both"/>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【法律】《人民调解法》（2011年）</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420" w:firstLineChars="200"/>
              <w:jc w:val="both"/>
              <w:textAlignment w:val="auto"/>
              <w:outlineLvl w:val="9"/>
              <w:rPr>
                <w:rFonts w:hint="eastAsia" w:ascii="仿宋_GB2312" w:eastAsia="仿宋_GB2312"/>
                <w:color w:val="auto"/>
              </w:rPr>
            </w:pPr>
            <w:r>
              <w:rPr>
                <w:rFonts w:hint="eastAsia" w:ascii="仿宋_GB2312" w:hAnsi="仿宋_GB2312" w:eastAsia="仿宋_GB2312" w:cs="仿宋_GB2312"/>
                <w:color w:val="auto"/>
                <w:szCs w:val="21"/>
              </w:rPr>
              <w:t>第六条  国家鼓励和支持人民调解工作。县级以上地方人民政府对人民调解工作所需经费应当给予必要的支持和保障，对有突出贡献的人民调解委员会和人民调解员按照国家规定给予表彰和奖励。</w:t>
            </w:r>
          </w:p>
        </w:tc>
        <w:tc>
          <w:tcPr>
            <w:tcW w:w="953" w:type="dxa"/>
            <w:vAlign w:val="center"/>
          </w:tcPr>
          <w:p>
            <w:pPr>
              <w:jc w:val="center"/>
              <w:rPr>
                <w:rFonts w:hint="eastAsia" w:ascii="仿宋_GB2312" w:hAnsi="仿宋_GB2312" w:eastAsia="仿宋_GB2312" w:cs="仿宋_GB2312"/>
                <w:color w:val="auto"/>
                <w:vertAlign w:val="baseline"/>
                <w:lang w:val="en-US" w:eastAsia="zh-CN"/>
              </w:rPr>
            </w:pPr>
            <w:r>
              <w:rPr>
                <w:rFonts w:hint="eastAsia" w:ascii="仿宋_GB2312" w:hAnsi="仿宋_GB2312" w:eastAsia="仿宋_GB2312" w:cs="仿宋_GB2312"/>
                <w:color w:val="auto"/>
                <w:sz w:val="21"/>
                <w:szCs w:val="21"/>
                <w:lang w:val="en-US" w:eastAsia="zh-CN"/>
              </w:rPr>
              <w:t>自治区</w:t>
            </w:r>
          </w:p>
        </w:tc>
        <w:tc>
          <w:tcPr>
            <w:tcW w:w="2690" w:type="dxa"/>
            <w:vAlign w:val="center"/>
          </w:tcPr>
          <w:p>
            <w:pPr>
              <w:jc w:val="center"/>
              <w:rPr>
                <w:rFonts w:hint="eastAsia" w:ascii="仿宋_GB2312" w:hAnsi="仿宋_GB2312" w:eastAsia="仿宋_GB2312" w:cs="仿宋_GB2312"/>
                <w:color w:val="auto"/>
                <w:vertAlign w:val="baseline"/>
                <w:lang w:val="en-US" w:eastAsia="zh-CN"/>
              </w:rPr>
            </w:pPr>
            <w:r>
              <w:rPr>
                <w:rFonts w:hint="eastAsia" w:ascii="仿宋_GB2312" w:hAnsi="仿宋_GB2312" w:eastAsia="仿宋_GB2312" w:cs="仿宋_GB2312"/>
                <w:color w:val="auto"/>
                <w:sz w:val="21"/>
                <w:szCs w:val="21"/>
                <w:lang w:eastAsia="zh-CN"/>
              </w:rPr>
              <w:t>分级负责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714" w:type="dxa"/>
            <w:vMerge w:val="continue"/>
            <w:vAlign w:val="center"/>
          </w:tcPr>
          <w:p>
            <w:pPr>
              <w:spacing w:line="270" w:lineRule="exact"/>
              <w:jc w:val="center"/>
              <w:rPr>
                <w:color w:val="auto"/>
              </w:rPr>
            </w:pPr>
          </w:p>
        </w:tc>
        <w:tc>
          <w:tcPr>
            <w:tcW w:w="1148" w:type="dxa"/>
            <w:vMerge w:val="continue"/>
            <w:vAlign w:val="center"/>
          </w:tcPr>
          <w:p>
            <w:pPr>
              <w:spacing w:line="270" w:lineRule="exact"/>
              <w:jc w:val="center"/>
              <w:rPr>
                <w:color w:val="auto"/>
              </w:rPr>
            </w:pPr>
          </w:p>
        </w:tc>
        <w:tc>
          <w:tcPr>
            <w:tcW w:w="775" w:type="dxa"/>
            <w:vMerge w:val="continue"/>
            <w:vAlign w:val="center"/>
          </w:tcPr>
          <w:p>
            <w:pPr>
              <w:spacing w:line="270" w:lineRule="exact"/>
              <w:jc w:val="center"/>
              <w:rPr>
                <w:color w:val="auto"/>
              </w:rPr>
            </w:pPr>
          </w:p>
        </w:tc>
        <w:tc>
          <w:tcPr>
            <w:tcW w:w="823" w:type="dxa"/>
            <w:vMerge w:val="continue"/>
            <w:vAlign w:val="center"/>
          </w:tcPr>
          <w:p>
            <w:pPr>
              <w:spacing w:line="270" w:lineRule="exact"/>
              <w:jc w:val="center"/>
              <w:rPr>
                <w:color w:val="auto"/>
              </w:rPr>
            </w:pPr>
          </w:p>
        </w:tc>
        <w:tc>
          <w:tcPr>
            <w:tcW w:w="7412" w:type="dxa"/>
            <w:vMerge w:val="continue"/>
            <w:vAlign w:val="center"/>
          </w:tcPr>
          <w:p>
            <w:pPr>
              <w:spacing w:line="270" w:lineRule="exact"/>
              <w:jc w:val="center"/>
              <w:rPr>
                <w:color w:val="auto"/>
              </w:rPr>
            </w:pPr>
          </w:p>
        </w:tc>
        <w:tc>
          <w:tcPr>
            <w:tcW w:w="953"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设区</w:t>
            </w:r>
          </w:p>
          <w:p>
            <w:pPr>
              <w:jc w:val="center"/>
              <w:rPr>
                <w:rFonts w:hint="eastAsia" w:ascii="仿宋_GB2312" w:hAnsi="仿宋_GB2312" w:eastAsia="仿宋_GB2312" w:cs="仿宋_GB2312"/>
                <w:color w:val="auto"/>
                <w:vertAlign w:val="baseline"/>
                <w:lang w:val="en-US" w:eastAsia="zh-CN"/>
              </w:rPr>
            </w:pPr>
            <w:r>
              <w:rPr>
                <w:rFonts w:hint="eastAsia" w:ascii="仿宋_GB2312" w:hAnsi="仿宋_GB2312" w:eastAsia="仿宋_GB2312" w:cs="仿宋_GB2312"/>
                <w:color w:val="auto"/>
                <w:sz w:val="21"/>
                <w:szCs w:val="21"/>
                <w:lang w:val="en-US" w:eastAsia="zh-CN"/>
              </w:rPr>
              <w:t>的市</w:t>
            </w:r>
          </w:p>
        </w:tc>
        <w:tc>
          <w:tcPr>
            <w:tcW w:w="2690" w:type="dxa"/>
            <w:vAlign w:val="center"/>
          </w:tcPr>
          <w:p>
            <w:pPr>
              <w:jc w:val="center"/>
              <w:rPr>
                <w:rFonts w:hint="eastAsia" w:ascii="仿宋_GB2312" w:hAnsi="仿宋_GB2312" w:eastAsia="仿宋_GB2312" w:cs="仿宋_GB2312"/>
                <w:color w:val="auto"/>
                <w:vertAlign w:val="baseline"/>
                <w:lang w:val="en-US" w:eastAsia="zh-CN"/>
              </w:rPr>
            </w:pPr>
            <w:r>
              <w:rPr>
                <w:rFonts w:hint="eastAsia" w:ascii="仿宋_GB2312" w:hAnsi="仿宋_GB2312" w:eastAsia="仿宋_GB2312" w:cs="仿宋_GB2312"/>
                <w:color w:val="auto"/>
                <w:szCs w:val="21"/>
                <w:lang w:eastAsia="zh-CN"/>
              </w:rPr>
              <w:t>分级负责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4" w:hRule="atLeast"/>
          <w:jc w:val="center"/>
        </w:trPr>
        <w:tc>
          <w:tcPr>
            <w:tcW w:w="714" w:type="dxa"/>
            <w:vMerge w:val="continue"/>
            <w:vAlign w:val="center"/>
          </w:tcPr>
          <w:p>
            <w:pPr>
              <w:spacing w:line="270" w:lineRule="exact"/>
              <w:jc w:val="center"/>
              <w:rPr>
                <w:rFonts w:hint="eastAsia" w:ascii="仿宋_GB2312" w:hAnsi="仿宋_GB2312" w:eastAsia="仿宋_GB2312" w:cs="仿宋_GB2312"/>
                <w:color w:val="auto"/>
                <w:vertAlign w:val="baseline"/>
                <w:lang w:val="en-US" w:eastAsia="zh-CN"/>
              </w:rPr>
            </w:pPr>
          </w:p>
        </w:tc>
        <w:tc>
          <w:tcPr>
            <w:tcW w:w="1148" w:type="dxa"/>
            <w:vMerge w:val="continue"/>
            <w:vAlign w:val="center"/>
          </w:tcPr>
          <w:p>
            <w:pPr>
              <w:spacing w:line="270" w:lineRule="exact"/>
              <w:jc w:val="center"/>
              <w:rPr>
                <w:rFonts w:hint="eastAsia" w:ascii="仿宋_GB2312" w:hAnsi="仿宋_GB2312" w:eastAsia="仿宋_GB2312" w:cs="仿宋_GB2312"/>
                <w:color w:val="auto"/>
                <w:vertAlign w:val="baseline"/>
                <w:lang w:val="en-US" w:eastAsia="zh-CN"/>
              </w:rPr>
            </w:pPr>
          </w:p>
        </w:tc>
        <w:tc>
          <w:tcPr>
            <w:tcW w:w="775" w:type="dxa"/>
            <w:vMerge w:val="continue"/>
            <w:vAlign w:val="center"/>
          </w:tcPr>
          <w:p>
            <w:pPr>
              <w:spacing w:line="270" w:lineRule="exact"/>
              <w:jc w:val="center"/>
              <w:rPr>
                <w:rFonts w:hint="eastAsia" w:ascii="仿宋_GB2312" w:hAnsi="仿宋_GB2312" w:eastAsia="仿宋_GB2312" w:cs="仿宋_GB2312"/>
                <w:color w:val="auto"/>
                <w:vertAlign w:val="baseline"/>
                <w:lang w:val="en-US" w:eastAsia="zh-CN"/>
              </w:rPr>
            </w:pPr>
          </w:p>
        </w:tc>
        <w:tc>
          <w:tcPr>
            <w:tcW w:w="823" w:type="dxa"/>
            <w:vMerge w:val="continue"/>
            <w:vAlign w:val="center"/>
          </w:tcPr>
          <w:p>
            <w:pPr>
              <w:spacing w:line="270" w:lineRule="exact"/>
              <w:jc w:val="center"/>
              <w:rPr>
                <w:rFonts w:hint="eastAsia" w:ascii="仿宋_GB2312" w:hAnsi="仿宋_GB2312" w:eastAsia="仿宋_GB2312" w:cs="仿宋_GB2312"/>
                <w:color w:val="auto"/>
                <w:vertAlign w:val="baseline"/>
                <w:lang w:val="en-US" w:eastAsia="zh-CN"/>
              </w:rPr>
            </w:pPr>
          </w:p>
        </w:tc>
        <w:tc>
          <w:tcPr>
            <w:tcW w:w="7412" w:type="dxa"/>
            <w:vMerge w:val="continue"/>
            <w:vAlign w:val="center"/>
          </w:tcPr>
          <w:p>
            <w:pPr>
              <w:spacing w:line="270" w:lineRule="exact"/>
              <w:jc w:val="center"/>
              <w:rPr>
                <w:rFonts w:hint="eastAsia" w:ascii="仿宋_GB2312" w:hAnsi="仿宋_GB2312" w:eastAsia="仿宋_GB2312" w:cs="仿宋_GB2312"/>
                <w:color w:val="auto"/>
                <w:vertAlign w:val="baseline"/>
                <w:lang w:val="en-US" w:eastAsia="zh-CN"/>
              </w:rPr>
            </w:pPr>
          </w:p>
        </w:tc>
        <w:tc>
          <w:tcPr>
            <w:tcW w:w="953" w:type="dxa"/>
            <w:vAlign w:val="center"/>
          </w:tcPr>
          <w:p>
            <w:pPr>
              <w:jc w:val="center"/>
              <w:rPr>
                <w:rFonts w:hint="eastAsia" w:ascii="仿宋_GB2312" w:hAnsi="仿宋_GB2312" w:eastAsia="仿宋_GB2312" w:cs="仿宋_GB2312"/>
                <w:color w:val="auto"/>
                <w:vertAlign w:val="baseline"/>
                <w:lang w:val="en-US" w:eastAsia="zh-CN"/>
              </w:rPr>
            </w:pPr>
            <w:r>
              <w:rPr>
                <w:rFonts w:hint="eastAsia" w:ascii="仿宋_GB2312" w:hAnsi="仿宋_GB2312" w:eastAsia="仿宋_GB2312" w:cs="仿宋_GB2312"/>
                <w:color w:val="auto"/>
                <w:sz w:val="21"/>
                <w:szCs w:val="21"/>
                <w:lang w:val="en-US" w:eastAsia="zh-CN"/>
              </w:rPr>
              <w:t>县级</w:t>
            </w:r>
          </w:p>
        </w:tc>
        <w:tc>
          <w:tcPr>
            <w:tcW w:w="2690" w:type="dxa"/>
            <w:vAlign w:val="center"/>
          </w:tcPr>
          <w:p>
            <w:pPr>
              <w:jc w:val="center"/>
              <w:rPr>
                <w:rFonts w:hint="eastAsia" w:ascii="仿宋_GB2312" w:hAnsi="仿宋_GB2312" w:eastAsia="仿宋_GB2312" w:cs="仿宋_GB2312"/>
                <w:color w:val="auto"/>
                <w:vertAlign w:val="baseline"/>
                <w:lang w:val="en-US" w:eastAsia="zh-CN"/>
              </w:rPr>
            </w:pPr>
            <w:r>
              <w:rPr>
                <w:rFonts w:hint="eastAsia" w:ascii="仿宋_GB2312" w:hAnsi="仿宋_GB2312" w:eastAsia="仿宋_GB2312" w:cs="仿宋_GB2312"/>
                <w:color w:val="auto"/>
                <w:szCs w:val="21"/>
                <w:lang w:eastAsia="zh-CN"/>
              </w:rPr>
              <w:t>分级负责</w:t>
            </w:r>
          </w:p>
        </w:tc>
      </w:tr>
    </w:tbl>
    <w:p>
      <w:pPr>
        <w:widowControl/>
        <w:jc w:val="left"/>
        <w:rPr>
          <w:rFonts w:ascii="楷体_GB2312" w:eastAsia="楷体_GB2312"/>
          <w:b/>
          <w:bCs/>
          <w:color w:val="auto"/>
          <w:sz w:val="32"/>
          <w:szCs w:val="32"/>
        </w:rPr>
      </w:pPr>
      <w:r>
        <w:rPr>
          <w:rFonts w:ascii="楷体_GB2312" w:eastAsia="楷体_GB2312"/>
          <w:b/>
          <w:bCs/>
          <w:color w:val="auto"/>
          <w:sz w:val="32"/>
          <w:szCs w:val="32"/>
        </w:rPr>
        <w:br w:type="page"/>
      </w:r>
    </w:p>
    <w:p>
      <w:pPr>
        <w:widowControl/>
        <w:jc w:val="center"/>
        <w:rPr>
          <w:rFonts w:ascii="楷体_GB2312" w:eastAsia="楷体_GB2312"/>
          <w:b/>
          <w:bCs/>
          <w:color w:val="auto"/>
          <w:sz w:val="32"/>
          <w:szCs w:val="32"/>
        </w:rPr>
      </w:pPr>
      <w:r>
        <w:rPr>
          <w:rFonts w:hint="eastAsia" w:ascii="楷体_GB2312" w:eastAsia="楷体_GB2312"/>
          <w:b/>
          <w:bCs/>
          <w:color w:val="auto"/>
          <w:sz w:val="32"/>
          <w:szCs w:val="32"/>
        </w:rPr>
        <w:t>七、行政裁决</w:t>
      </w:r>
    </w:p>
    <w:tbl>
      <w:tblPr>
        <w:tblStyle w:val="21"/>
        <w:tblW w:w="145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148"/>
        <w:gridCol w:w="775"/>
        <w:gridCol w:w="823"/>
        <w:gridCol w:w="7412"/>
        <w:gridCol w:w="953"/>
        <w:gridCol w:w="2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14" w:type="dxa"/>
            <w:vAlign w:val="center"/>
          </w:tcPr>
          <w:p>
            <w:pPr>
              <w:jc w:val="center"/>
              <w:rPr>
                <w:rFonts w:ascii="仿宋_GB2312" w:eastAsia="仿宋_GB2312" w:cs="仿宋_GB2312"/>
                <w:b/>
                <w:bCs/>
                <w:color w:val="auto"/>
                <w:szCs w:val="21"/>
              </w:rPr>
            </w:pPr>
            <w:r>
              <w:rPr>
                <w:rFonts w:hint="eastAsia" w:ascii="仿宋_GB2312" w:hAnsi="仿宋_GB2312" w:eastAsia="仿宋_GB2312" w:cs="仿宋_GB2312"/>
                <w:b/>
                <w:bCs/>
                <w:color w:val="auto"/>
                <w:szCs w:val="21"/>
              </w:rPr>
              <w:t>序号</w:t>
            </w:r>
          </w:p>
        </w:tc>
        <w:tc>
          <w:tcPr>
            <w:tcW w:w="1148" w:type="dxa"/>
            <w:vAlign w:val="center"/>
          </w:tcPr>
          <w:p>
            <w:pPr>
              <w:jc w:val="center"/>
              <w:rPr>
                <w:rFonts w:ascii="仿宋_GB2312" w:eastAsia="仿宋_GB2312" w:cs="仿宋_GB2312"/>
                <w:b/>
                <w:bCs/>
                <w:color w:val="auto"/>
                <w:szCs w:val="21"/>
              </w:rPr>
            </w:pPr>
            <w:r>
              <w:rPr>
                <w:rFonts w:hint="eastAsia" w:ascii="仿宋_GB2312" w:hAnsi="仿宋_GB2312" w:eastAsia="仿宋_GB2312" w:cs="仿宋_GB2312"/>
                <w:b/>
                <w:bCs/>
                <w:color w:val="auto"/>
                <w:szCs w:val="21"/>
              </w:rPr>
              <w:t>职权名称</w:t>
            </w:r>
          </w:p>
        </w:tc>
        <w:tc>
          <w:tcPr>
            <w:tcW w:w="775" w:type="dxa"/>
            <w:vAlign w:val="center"/>
          </w:tcPr>
          <w:p>
            <w:pPr>
              <w:jc w:val="center"/>
              <w:rPr>
                <w:rFonts w:ascii="仿宋_GB2312" w:eastAsia="仿宋_GB2312" w:cs="仿宋_GB2312"/>
                <w:b/>
                <w:bCs/>
                <w:color w:val="auto"/>
                <w:szCs w:val="21"/>
              </w:rPr>
            </w:pPr>
            <w:r>
              <w:rPr>
                <w:rFonts w:hint="eastAsia" w:ascii="仿宋_GB2312" w:hAnsi="仿宋_GB2312" w:eastAsia="仿宋_GB2312" w:cs="仿宋_GB2312"/>
                <w:b/>
                <w:bCs/>
                <w:color w:val="auto"/>
                <w:szCs w:val="21"/>
              </w:rPr>
              <w:t>基本编码</w:t>
            </w:r>
          </w:p>
        </w:tc>
        <w:tc>
          <w:tcPr>
            <w:tcW w:w="823" w:type="dxa"/>
            <w:vAlign w:val="center"/>
          </w:tcPr>
          <w:p>
            <w:pPr>
              <w:jc w:val="center"/>
              <w:rPr>
                <w:rFonts w:ascii="仿宋_GB2312" w:eastAsia="仿宋_GB2312" w:cs="仿宋_GB2312"/>
                <w:b/>
                <w:bCs/>
                <w:color w:val="auto"/>
                <w:szCs w:val="21"/>
              </w:rPr>
            </w:pPr>
            <w:r>
              <w:rPr>
                <w:rFonts w:hint="eastAsia" w:ascii="仿宋_GB2312" w:hAnsi="仿宋_GB2312" w:eastAsia="仿宋_GB2312" w:cs="仿宋_GB2312"/>
                <w:b/>
                <w:bCs/>
                <w:color w:val="auto"/>
                <w:szCs w:val="21"/>
              </w:rPr>
              <w:t>实施</w:t>
            </w:r>
          </w:p>
          <w:p>
            <w:pPr>
              <w:jc w:val="center"/>
              <w:rPr>
                <w:rFonts w:ascii="仿宋_GB2312" w:eastAsia="仿宋_GB2312" w:cs="仿宋_GB2312"/>
                <w:b/>
                <w:bCs/>
                <w:color w:val="auto"/>
                <w:szCs w:val="21"/>
              </w:rPr>
            </w:pPr>
            <w:r>
              <w:rPr>
                <w:rFonts w:hint="eastAsia" w:ascii="仿宋_GB2312" w:hAnsi="仿宋_GB2312" w:eastAsia="仿宋_GB2312" w:cs="仿宋_GB2312"/>
                <w:b/>
                <w:bCs/>
                <w:color w:val="auto"/>
                <w:szCs w:val="21"/>
              </w:rPr>
              <w:t>部门</w:t>
            </w:r>
          </w:p>
        </w:tc>
        <w:tc>
          <w:tcPr>
            <w:tcW w:w="7412" w:type="dxa"/>
            <w:vAlign w:val="center"/>
          </w:tcPr>
          <w:p>
            <w:pPr>
              <w:spacing w:line="270" w:lineRule="exact"/>
              <w:jc w:val="center"/>
              <w:rPr>
                <w:rFonts w:ascii="仿宋_GB2312" w:eastAsia="仿宋_GB2312" w:cs="仿宋_GB2312"/>
                <w:b/>
                <w:bCs/>
                <w:color w:val="auto"/>
                <w:szCs w:val="21"/>
              </w:rPr>
            </w:pPr>
            <w:r>
              <w:rPr>
                <w:rFonts w:hint="eastAsia" w:ascii="仿宋_GB2312" w:hAnsi="仿宋_GB2312" w:eastAsia="仿宋_GB2312" w:cs="仿宋_GB2312"/>
                <w:b/>
                <w:bCs/>
                <w:color w:val="auto"/>
                <w:szCs w:val="21"/>
              </w:rPr>
              <w:t>职权依据</w:t>
            </w:r>
          </w:p>
        </w:tc>
        <w:tc>
          <w:tcPr>
            <w:tcW w:w="953" w:type="dxa"/>
            <w:vAlign w:val="center"/>
          </w:tcPr>
          <w:p>
            <w:pPr>
              <w:jc w:val="center"/>
              <w:rPr>
                <w:rFonts w:ascii="仿宋_GB2312" w:eastAsia="仿宋_GB2312" w:cs="仿宋_GB2312"/>
                <w:b/>
                <w:bCs/>
                <w:color w:val="auto"/>
                <w:szCs w:val="21"/>
              </w:rPr>
            </w:pPr>
            <w:r>
              <w:rPr>
                <w:rFonts w:hint="eastAsia" w:ascii="仿宋_GB2312" w:hAnsi="仿宋_GB2312" w:eastAsia="仿宋_GB2312" w:cs="仿宋_GB2312"/>
                <w:b/>
                <w:bCs/>
                <w:color w:val="auto"/>
                <w:szCs w:val="21"/>
              </w:rPr>
              <w:t>行使</w:t>
            </w:r>
          </w:p>
          <w:p>
            <w:pPr>
              <w:jc w:val="center"/>
              <w:rPr>
                <w:rFonts w:ascii="仿宋_GB2312" w:eastAsia="仿宋_GB2312" w:cs="仿宋_GB2312"/>
                <w:b/>
                <w:bCs/>
                <w:color w:val="auto"/>
                <w:szCs w:val="21"/>
              </w:rPr>
            </w:pPr>
            <w:r>
              <w:rPr>
                <w:rFonts w:hint="eastAsia" w:ascii="仿宋_GB2312" w:hAnsi="仿宋_GB2312" w:eastAsia="仿宋_GB2312" w:cs="仿宋_GB2312"/>
                <w:b/>
                <w:bCs/>
                <w:color w:val="auto"/>
                <w:szCs w:val="21"/>
              </w:rPr>
              <w:t>层级</w:t>
            </w:r>
          </w:p>
        </w:tc>
        <w:tc>
          <w:tcPr>
            <w:tcW w:w="2690" w:type="dxa"/>
            <w:vAlign w:val="center"/>
          </w:tcPr>
          <w:p>
            <w:pPr>
              <w:jc w:val="center"/>
              <w:rPr>
                <w:rFonts w:ascii="仿宋_GB2312" w:eastAsia="仿宋_GB2312" w:cs="仿宋_GB2312"/>
                <w:b/>
                <w:bCs/>
                <w:color w:val="auto"/>
                <w:szCs w:val="21"/>
              </w:rPr>
            </w:pPr>
            <w:r>
              <w:rPr>
                <w:rFonts w:hint="eastAsia" w:ascii="仿宋_GB2312" w:hAnsi="仿宋_GB2312" w:eastAsia="仿宋_GB2312" w:cs="仿宋_GB2312"/>
                <w:b/>
                <w:bCs/>
                <w:color w:val="auto"/>
                <w:szCs w:val="21"/>
              </w:rPr>
              <w:t>行使内容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0" w:hRule="atLeast"/>
          <w:jc w:val="center"/>
        </w:trPr>
        <w:tc>
          <w:tcPr>
            <w:tcW w:w="714" w:type="dxa"/>
            <w:vMerge w:val="restart"/>
            <w:vAlign w:val="center"/>
          </w:tcPr>
          <w:p>
            <w:pPr>
              <w:spacing w:line="270" w:lineRule="exact"/>
              <w:jc w:val="center"/>
              <w:rPr>
                <w:rFonts w:ascii="仿宋_GB2312" w:eastAsia="仿宋_GB2312" w:cs="仿宋_GB2312"/>
                <w:color w:val="auto"/>
                <w:szCs w:val="21"/>
              </w:rPr>
            </w:pPr>
            <w:r>
              <w:rPr>
                <w:rFonts w:hint="eastAsia" w:ascii="仿宋_GB2312" w:hAnsi="仿宋_GB2312" w:eastAsia="仿宋_GB2312" w:cs="仿宋_GB2312"/>
                <w:color w:val="auto"/>
                <w:szCs w:val="21"/>
              </w:rPr>
              <w:t>1</w:t>
            </w:r>
          </w:p>
        </w:tc>
        <w:tc>
          <w:tcPr>
            <w:tcW w:w="1148" w:type="dxa"/>
            <w:vMerge w:val="restart"/>
            <w:vAlign w:val="center"/>
          </w:tcPr>
          <w:p>
            <w:pPr>
              <w:spacing w:line="270" w:lineRule="exact"/>
              <w:rPr>
                <w:rFonts w:ascii="仿宋_GB2312" w:eastAsia="仿宋_GB2312" w:cs="仿宋_GB2312"/>
                <w:color w:val="auto"/>
                <w:szCs w:val="21"/>
              </w:rPr>
            </w:pPr>
            <w:r>
              <w:rPr>
                <w:rFonts w:hint="eastAsia" w:ascii="仿宋_GB2312" w:hAnsi="仿宋_GB2312" w:eastAsia="仿宋_GB2312" w:cs="仿宋_GB2312"/>
                <w:color w:val="auto"/>
                <w:sz w:val="21"/>
                <w:szCs w:val="21"/>
              </w:rPr>
              <w:t>对审计机关作出的有关财政收支的审计决定进行裁决</w:t>
            </w:r>
          </w:p>
        </w:tc>
        <w:tc>
          <w:tcPr>
            <w:tcW w:w="775" w:type="dxa"/>
            <w:vMerge w:val="restart"/>
            <w:vAlign w:val="center"/>
          </w:tcPr>
          <w:p>
            <w:pPr>
              <w:spacing w:line="270" w:lineRule="exact"/>
              <w:rPr>
                <w:rFonts w:ascii="仿宋_GB2312" w:eastAsia="仿宋_GB2312" w:cs="仿宋_GB2312"/>
                <w:color w:val="auto"/>
                <w:szCs w:val="21"/>
              </w:rPr>
            </w:pPr>
            <w:r>
              <w:rPr>
                <w:rFonts w:hint="eastAsia" w:ascii="仿宋_GB2312" w:eastAsia="仿宋_GB2312" w:cs="仿宋_GB2312"/>
                <w:color w:val="auto"/>
                <w:szCs w:val="21"/>
              </w:rPr>
              <w:t>0</w:t>
            </w:r>
            <w:r>
              <w:rPr>
                <w:rFonts w:ascii="仿宋_GB2312" w:eastAsia="仿宋_GB2312" w:cs="仿宋_GB2312"/>
                <w:color w:val="auto"/>
                <w:szCs w:val="21"/>
              </w:rPr>
              <w:t>9</w:t>
            </w:r>
            <w:r>
              <w:rPr>
                <w:rFonts w:hint="eastAsia" w:ascii="仿宋_GB2312" w:eastAsia="仿宋_GB2312" w:cs="仿宋_GB2312"/>
                <w:color w:val="auto"/>
                <w:szCs w:val="21"/>
              </w:rPr>
              <w:t>09001000</w:t>
            </w:r>
          </w:p>
        </w:tc>
        <w:tc>
          <w:tcPr>
            <w:tcW w:w="823" w:type="dxa"/>
            <w:vMerge w:val="restart"/>
            <w:vAlign w:val="center"/>
          </w:tcPr>
          <w:p>
            <w:pPr>
              <w:jc w:val="center"/>
              <w:rPr>
                <w:rFonts w:ascii="仿宋_GB2312" w:eastAsia="仿宋_GB2312" w:cs="仿宋_GB2312"/>
                <w:color w:val="auto"/>
                <w:szCs w:val="21"/>
              </w:rPr>
            </w:pPr>
            <w:r>
              <w:rPr>
                <w:rFonts w:hint="eastAsia" w:ascii="仿宋_GB2312" w:hAnsi="仿宋_GB2312" w:eastAsia="仿宋_GB2312" w:cs="仿宋_GB2312"/>
                <w:color w:val="auto"/>
                <w:vertAlign w:val="baseline"/>
                <w:lang w:val="en-US" w:eastAsia="zh-CN"/>
              </w:rPr>
              <w:t>司法行政部门</w:t>
            </w:r>
          </w:p>
        </w:tc>
        <w:tc>
          <w:tcPr>
            <w:tcW w:w="7412"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420" w:firstLineChars="200"/>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【法律】《中华人民共和国审计法》（2006年主席令第48号修改）</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420" w:firstLineChars="200"/>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第四十八条 被审计单位对审计机关作出的有关财务收支的审计决定不服的，可以依法申请行政复议或者提起行政诉讼。</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420" w:firstLineChars="200"/>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被审计单位对审计机关作出的有关财政收支的审计决定不服的，可以提请审计机关的本级人民政府裁决，本级人民政府的裁决为最终决定。</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420" w:firstLineChars="200"/>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【行政法规】《中华人民共和国审计法实施条例》（2010年国务院令第571号修订）</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420" w:firstLineChars="200"/>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第五十二条 被审计单位对审计机关依照审计法第十六条、第十七条和本条例第十五条规定进行审计监督作出的审计决定不服的，可以自审计决定送达之日起60日内，提请审计机关的本级人民政府裁决，本级人民政府的裁决为最终决定。</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420" w:firstLineChars="200"/>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审计机关应当在审计决定中告知被审计单位提请裁决的途径和期限。</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420" w:firstLineChars="200"/>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裁决期间，审计决定不停止执行。但是，有下列情形之一的，可以停止执行:（一）审计机关认为需要停止执行的;（二）受理裁决的人民政府认为需要停止执行的;（三）被审计单位申请停止执行，受理裁决的人民政府认为其要求合理，决定停止执行的。</w:t>
            </w:r>
          </w:p>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outlineLvl w:val="9"/>
              <w:rPr>
                <w:rFonts w:hint="eastAsia" w:ascii="仿宋_GB2312" w:hAnsi="仿宋_GB2312" w:eastAsia="仿宋_GB2312" w:cs="仿宋_GB2312"/>
                <w:color w:val="auto"/>
                <w:szCs w:val="21"/>
              </w:rPr>
            </w:pPr>
            <w:r>
              <w:rPr>
                <w:rFonts w:hint="eastAsia" w:ascii="仿宋_GB2312" w:hAnsi="仿宋_GB2312" w:eastAsia="仿宋_GB2312" w:cs="仿宋_GB2312"/>
                <w:color w:val="auto"/>
                <w:kern w:val="0"/>
                <w:sz w:val="21"/>
                <w:szCs w:val="21"/>
              </w:rPr>
              <w:t>裁决由本级人民政府法制机构办理。裁决决定应当自接到提请之日起60日内作出;有特殊情况需要延长的，经法制机构负责人批准，可以适当延长，并告知审计机关和提请裁决的被审计单位，但延长的期限不得超过30日。</w:t>
            </w:r>
          </w:p>
        </w:tc>
        <w:tc>
          <w:tcPr>
            <w:tcW w:w="953" w:type="dxa"/>
            <w:vAlign w:val="center"/>
          </w:tcPr>
          <w:p>
            <w:pPr>
              <w:jc w:val="center"/>
              <w:rPr>
                <w:rFonts w:ascii="仿宋_GB2312" w:eastAsia="仿宋_GB2312" w:cs="仿宋_GB2312"/>
                <w:color w:val="auto"/>
                <w:szCs w:val="21"/>
              </w:rPr>
            </w:pPr>
            <w:r>
              <w:rPr>
                <w:rFonts w:hint="eastAsia" w:ascii="楷体_GB2312" w:hAnsi="楷体_GB2312" w:eastAsia="楷体_GB2312" w:cs="楷体_GB2312"/>
                <w:color w:val="auto"/>
                <w:sz w:val="21"/>
                <w:szCs w:val="21"/>
                <w:lang w:val="en-US" w:eastAsia="zh-CN"/>
              </w:rPr>
              <w:t>自治区</w:t>
            </w:r>
          </w:p>
        </w:tc>
        <w:tc>
          <w:tcPr>
            <w:tcW w:w="2690" w:type="dxa"/>
            <w:vAlign w:val="center"/>
          </w:tcPr>
          <w:p>
            <w:pPr>
              <w:jc w:val="center"/>
              <w:rPr>
                <w:rFonts w:ascii="仿宋_GB2312" w:eastAsia="仿宋_GB2312" w:cs="仿宋_GB2312"/>
                <w:color w:val="auto"/>
                <w:szCs w:val="21"/>
              </w:rPr>
            </w:pPr>
            <w:r>
              <w:rPr>
                <w:rFonts w:hint="eastAsia" w:ascii="仿宋_GB2312" w:hAnsi="仿宋_GB2312" w:eastAsia="仿宋_GB2312" w:cs="仿宋_GB2312"/>
                <w:color w:val="auto"/>
                <w:sz w:val="21"/>
                <w:szCs w:val="21"/>
                <w:lang w:eastAsia="zh-CN"/>
              </w:rPr>
              <w:t>办理本级有关财政收支审计决定的行政裁决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0" w:hRule="atLeast"/>
          <w:jc w:val="center"/>
        </w:trPr>
        <w:tc>
          <w:tcPr>
            <w:tcW w:w="714" w:type="dxa"/>
            <w:vMerge w:val="continue"/>
            <w:vAlign w:val="center"/>
          </w:tcPr>
          <w:p>
            <w:pPr>
              <w:spacing w:line="270" w:lineRule="exact"/>
              <w:jc w:val="left"/>
              <w:rPr>
                <w:color w:val="auto"/>
              </w:rPr>
            </w:pPr>
          </w:p>
        </w:tc>
        <w:tc>
          <w:tcPr>
            <w:tcW w:w="1148" w:type="dxa"/>
            <w:vMerge w:val="continue"/>
            <w:vAlign w:val="center"/>
          </w:tcPr>
          <w:p>
            <w:pPr>
              <w:spacing w:line="270" w:lineRule="exact"/>
              <w:jc w:val="left"/>
              <w:rPr>
                <w:color w:val="auto"/>
              </w:rPr>
            </w:pPr>
          </w:p>
        </w:tc>
        <w:tc>
          <w:tcPr>
            <w:tcW w:w="775" w:type="dxa"/>
            <w:vMerge w:val="continue"/>
            <w:vAlign w:val="center"/>
          </w:tcPr>
          <w:p>
            <w:pPr>
              <w:spacing w:line="270" w:lineRule="exact"/>
              <w:jc w:val="left"/>
              <w:rPr>
                <w:color w:val="auto"/>
              </w:rPr>
            </w:pPr>
          </w:p>
        </w:tc>
        <w:tc>
          <w:tcPr>
            <w:tcW w:w="823" w:type="dxa"/>
            <w:vMerge w:val="continue"/>
            <w:vAlign w:val="center"/>
          </w:tcPr>
          <w:p>
            <w:pPr>
              <w:jc w:val="center"/>
              <w:rPr>
                <w:color w:val="auto"/>
              </w:rPr>
            </w:pPr>
          </w:p>
        </w:tc>
        <w:tc>
          <w:tcPr>
            <w:tcW w:w="7412" w:type="dxa"/>
            <w:vMerge w:val="continue"/>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outlineLvl w:val="9"/>
              <w:rPr>
                <w:color w:val="auto"/>
              </w:rPr>
            </w:pPr>
          </w:p>
        </w:tc>
        <w:tc>
          <w:tcPr>
            <w:tcW w:w="953" w:type="dxa"/>
            <w:vAlign w:val="center"/>
          </w:tcPr>
          <w:p>
            <w:pPr>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设区</w:t>
            </w:r>
          </w:p>
          <w:p>
            <w:pPr>
              <w:jc w:val="center"/>
              <w:rPr>
                <w:rFonts w:hint="eastAsia" w:ascii="仿宋_GB2312" w:hAnsi="仿宋_GB2312" w:eastAsia="仿宋_GB2312" w:cs="仿宋_GB2312"/>
                <w:color w:val="auto"/>
                <w:kern w:val="0"/>
                <w:szCs w:val="21"/>
              </w:rPr>
            </w:pPr>
            <w:r>
              <w:rPr>
                <w:rFonts w:hint="eastAsia" w:ascii="楷体_GB2312" w:hAnsi="楷体_GB2312" w:eastAsia="楷体_GB2312" w:cs="楷体_GB2312"/>
                <w:color w:val="auto"/>
                <w:sz w:val="21"/>
                <w:szCs w:val="21"/>
                <w:lang w:val="en-US" w:eastAsia="zh-CN"/>
              </w:rPr>
              <w:t>的市</w:t>
            </w:r>
          </w:p>
        </w:tc>
        <w:tc>
          <w:tcPr>
            <w:tcW w:w="2690" w:type="dxa"/>
            <w:vAlign w:val="center"/>
          </w:tcPr>
          <w:p>
            <w:pPr>
              <w:jc w:val="both"/>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sz w:val="21"/>
                <w:szCs w:val="21"/>
                <w:lang w:eastAsia="zh-CN"/>
              </w:rPr>
              <w:t>办理本级有关财政收支审计决定的行政裁决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0" w:hRule="atLeast"/>
          <w:jc w:val="center"/>
        </w:trPr>
        <w:tc>
          <w:tcPr>
            <w:tcW w:w="714" w:type="dxa"/>
            <w:vMerge w:val="continue"/>
            <w:vAlign w:val="center"/>
          </w:tcPr>
          <w:p>
            <w:pPr>
              <w:spacing w:line="270" w:lineRule="exact"/>
              <w:jc w:val="left"/>
              <w:rPr>
                <w:rFonts w:hint="eastAsia" w:ascii="仿宋_GB2312" w:hAnsi="仿宋_GB2312" w:eastAsia="仿宋_GB2312" w:cs="仿宋_GB2312"/>
                <w:color w:val="auto"/>
                <w:kern w:val="0"/>
                <w:szCs w:val="21"/>
              </w:rPr>
            </w:pPr>
          </w:p>
        </w:tc>
        <w:tc>
          <w:tcPr>
            <w:tcW w:w="1148" w:type="dxa"/>
            <w:vMerge w:val="continue"/>
            <w:vAlign w:val="center"/>
          </w:tcPr>
          <w:p>
            <w:pPr>
              <w:spacing w:line="270" w:lineRule="exact"/>
              <w:jc w:val="left"/>
              <w:rPr>
                <w:rFonts w:hint="eastAsia" w:ascii="仿宋_GB2312" w:hAnsi="仿宋_GB2312" w:eastAsia="仿宋_GB2312" w:cs="仿宋_GB2312"/>
                <w:color w:val="auto"/>
                <w:kern w:val="0"/>
                <w:szCs w:val="21"/>
              </w:rPr>
            </w:pPr>
          </w:p>
        </w:tc>
        <w:tc>
          <w:tcPr>
            <w:tcW w:w="775" w:type="dxa"/>
            <w:vMerge w:val="continue"/>
            <w:vAlign w:val="center"/>
          </w:tcPr>
          <w:p>
            <w:pPr>
              <w:spacing w:line="270" w:lineRule="exact"/>
              <w:jc w:val="left"/>
              <w:rPr>
                <w:rFonts w:hint="eastAsia" w:ascii="仿宋_GB2312" w:hAnsi="仿宋_GB2312" w:eastAsia="仿宋_GB2312" w:cs="仿宋_GB2312"/>
                <w:color w:val="auto"/>
                <w:kern w:val="0"/>
                <w:szCs w:val="21"/>
              </w:rPr>
            </w:pPr>
          </w:p>
        </w:tc>
        <w:tc>
          <w:tcPr>
            <w:tcW w:w="823" w:type="dxa"/>
            <w:vMerge w:val="continue"/>
            <w:vAlign w:val="center"/>
          </w:tcPr>
          <w:p>
            <w:pPr>
              <w:jc w:val="center"/>
              <w:rPr>
                <w:rFonts w:hint="eastAsia" w:ascii="仿宋_GB2312" w:hAnsi="仿宋_GB2312" w:eastAsia="仿宋_GB2312" w:cs="仿宋_GB2312"/>
                <w:color w:val="auto"/>
                <w:kern w:val="0"/>
                <w:szCs w:val="21"/>
              </w:rPr>
            </w:pPr>
          </w:p>
        </w:tc>
        <w:tc>
          <w:tcPr>
            <w:tcW w:w="7412" w:type="dxa"/>
            <w:vMerge w:val="continue"/>
            <w:vAlign w:val="center"/>
          </w:tcPr>
          <w:p>
            <w:pPr>
              <w:jc w:val="center"/>
              <w:rPr>
                <w:rFonts w:hint="eastAsia" w:ascii="仿宋_GB2312" w:hAnsi="仿宋_GB2312" w:eastAsia="仿宋_GB2312" w:cs="仿宋_GB2312"/>
                <w:color w:val="auto"/>
                <w:kern w:val="0"/>
                <w:szCs w:val="21"/>
              </w:rPr>
            </w:pPr>
          </w:p>
        </w:tc>
        <w:tc>
          <w:tcPr>
            <w:tcW w:w="953" w:type="dxa"/>
            <w:vAlign w:val="center"/>
          </w:tcPr>
          <w:p>
            <w:pPr>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sz w:val="21"/>
                <w:szCs w:val="21"/>
                <w:lang w:val="en-US" w:eastAsia="zh-CN"/>
              </w:rPr>
              <w:t>县级</w:t>
            </w:r>
          </w:p>
        </w:tc>
        <w:tc>
          <w:tcPr>
            <w:tcW w:w="2690" w:type="dxa"/>
            <w:vAlign w:val="center"/>
          </w:tcPr>
          <w:p>
            <w:pPr>
              <w:jc w:val="both"/>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sz w:val="21"/>
                <w:szCs w:val="21"/>
                <w:lang w:eastAsia="zh-CN"/>
              </w:rPr>
              <w:t>办理本级有关财政收支审计决定的行政裁决</w:t>
            </w:r>
          </w:p>
        </w:tc>
      </w:tr>
    </w:tbl>
    <w:p>
      <w:pPr>
        <w:jc w:val="center"/>
        <w:rPr>
          <w:rFonts w:hint="eastAsia" w:ascii="楷体_GB2312" w:eastAsia="楷体_GB2312"/>
          <w:b/>
          <w:bCs/>
          <w:color w:val="auto"/>
          <w:sz w:val="32"/>
          <w:szCs w:val="32"/>
        </w:rPr>
      </w:pPr>
    </w:p>
    <w:p>
      <w:pPr>
        <w:jc w:val="center"/>
        <w:rPr>
          <w:rFonts w:hint="eastAsia" w:ascii="楷体_GB2312" w:eastAsia="楷体_GB2312"/>
          <w:b/>
          <w:bCs/>
          <w:color w:val="auto"/>
          <w:sz w:val="32"/>
          <w:szCs w:val="32"/>
        </w:rPr>
      </w:pPr>
    </w:p>
    <w:p>
      <w:pPr>
        <w:jc w:val="center"/>
        <w:rPr>
          <w:rFonts w:ascii="楷体_GB2312" w:eastAsia="楷体_GB2312"/>
          <w:b/>
          <w:bCs/>
          <w:color w:val="auto"/>
          <w:sz w:val="32"/>
          <w:szCs w:val="32"/>
        </w:rPr>
      </w:pPr>
      <w:r>
        <w:rPr>
          <w:rFonts w:hint="eastAsia" w:ascii="楷体_GB2312" w:eastAsia="楷体_GB2312"/>
          <w:b/>
          <w:bCs/>
          <w:color w:val="auto"/>
          <w:sz w:val="32"/>
          <w:szCs w:val="32"/>
          <w:lang w:eastAsia="zh-CN"/>
        </w:rPr>
        <w:t>八、</w:t>
      </w:r>
      <w:r>
        <w:rPr>
          <w:rFonts w:hint="eastAsia" w:ascii="楷体_GB2312" w:eastAsia="楷体_GB2312"/>
          <w:b/>
          <w:bCs/>
          <w:color w:val="auto"/>
          <w:sz w:val="32"/>
          <w:szCs w:val="32"/>
        </w:rPr>
        <w:t>其他类</w:t>
      </w:r>
    </w:p>
    <w:tbl>
      <w:tblPr>
        <w:tblStyle w:val="22"/>
        <w:tblW w:w="145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148"/>
        <w:gridCol w:w="775"/>
        <w:gridCol w:w="823"/>
        <w:gridCol w:w="7412"/>
        <w:gridCol w:w="953"/>
        <w:gridCol w:w="2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14" w:type="dxa"/>
            <w:vAlign w:val="center"/>
          </w:tcPr>
          <w:p>
            <w:pPr>
              <w:jc w:val="center"/>
              <w:rPr>
                <w:rFonts w:ascii="仿宋_GB2312" w:hAnsi="仿宋_GB2312" w:eastAsia="仿宋_GB2312" w:cs="仿宋_GB2312"/>
                <w:b/>
                <w:bCs/>
                <w:color w:val="auto"/>
                <w:szCs w:val="21"/>
              </w:rPr>
            </w:pPr>
            <w:r>
              <w:rPr>
                <w:rFonts w:hint="eastAsia" w:ascii="仿宋_GB2312" w:hAnsi="仿宋_GB2312" w:eastAsia="仿宋_GB2312" w:cs="仿宋_GB2312"/>
                <w:b/>
                <w:bCs/>
                <w:color w:val="auto"/>
                <w:szCs w:val="21"/>
              </w:rPr>
              <w:t>序号</w:t>
            </w:r>
          </w:p>
        </w:tc>
        <w:tc>
          <w:tcPr>
            <w:tcW w:w="1148" w:type="dxa"/>
            <w:vAlign w:val="center"/>
          </w:tcPr>
          <w:p>
            <w:pPr>
              <w:jc w:val="center"/>
              <w:rPr>
                <w:rFonts w:ascii="仿宋_GB2312" w:hAnsi="仿宋_GB2312" w:eastAsia="仿宋_GB2312" w:cs="仿宋_GB2312"/>
                <w:b/>
                <w:bCs/>
                <w:color w:val="auto"/>
                <w:szCs w:val="21"/>
              </w:rPr>
            </w:pPr>
            <w:r>
              <w:rPr>
                <w:rFonts w:hint="eastAsia" w:ascii="仿宋_GB2312" w:hAnsi="仿宋_GB2312" w:eastAsia="仿宋_GB2312" w:cs="仿宋_GB2312"/>
                <w:b/>
                <w:bCs/>
                <w:color w:val="auto"/>
                <w:szCs w:val="21"/>
              </w:rPr>
              <w:t>职权名称</w:t>
            </w:r>
          </w:p>
        </w:tc>
        <w:tc>
          <w:tcPr>
            <w:tcW w:w="775" w:type="dxa"/>
            <w:vAlign w:val="center"/>
          </w:tcPr>
          <w:p>
            <w:pPr>
              <w:jc w:val="center"/>
              <w:rPr>
                <w:rFonts w:ascii="仿宋_GB2312" w:hAnsi="仿宋_GB2312" w:eastAsia="仿宋_GB2312" w:cs="仿宋_GB2312"/>
                <w:b/>
                <w:bCs/>
                <w:color w:val="auto"/>
                <w:szCs w:val="21"/>
              </w:rPr>
            </w:pPr>
            <w:r>
              <w:rPr>
                <w:rFonts w:hint="eastAsia" w:ascii="仿宋_GB2312" w:hAnsi="仿宋_GB2312" w:eastAsia="仿宋_GB2312" w:cs="仿宋_GB2312"/>
                <w:b/>
                <w:bCs/>
                <w:color w:val="auto"/>
                <w:szCs w:val="21"/>
              </w:rPr>
              <w:t>基本编码</w:t>
            </w:r>
          </w:p>
        </w:tc>
        <w:tc>
          <w:tcPr>
            <w:tcW w:w="823" w:type="dxa"/>
            <w:vAlign w:val="center"/>
          </w:tcPr>
          <w:p>
            <w:pPr>
              <w:jc w:val="center"/>
              <w:rPr>
                <w:rFonts w:ascii="仿宋_GB2312" w:hAnsi="仿宋_GB2312" w:eastAsia="仿宋_GB2312" w:cs="仿宋_GB2312"/>
                <w:b/>
                <w:bCs/>
                <w:color w:val="auto"/>
                <w:szCs w:val="21"/>
              </w:rPr>
            </w:pPr>
            <w:r>
              <w:rPr>
                <w:rFonts w:hint="eastAsia" w:ascii="仿宋_GB2312" w:hAnsi="仿宋_GB2312" w:eastAsia="仿宋_GB2312" w:cs="仿宋_GB2312"/>
                <w:b/>
                <w:bCs/>
                <w:color w:val="auto"/>
                <w:szCs w:val="21"/>
              </w:rPr>
              <w:t>实施</w:t>
            </w:r>
          </w:p>
          <w:p>
            <w:pPr>
              <w:jc w:val="center"/>
              <w:rPr>
                <w:rFonts w:ascii="仿宋_GB2312" w:hAnsi="仿宋_GB2312" w:eastAsia="仿宋_GB2312" w:cs="仿宋_GB2312"/>
                <w:b/>
                <w:bCs/>
                <w:color w:val="auto"/>
                <w:szCs w:val="21"/>
              </w:rPr>
            </w:pPr>
            <w:r>
              <w:rPr>
                <w:rFonts w:hint="eastAsia" w:ascii="仿宋_GB2312" w:hAnsi="仿宋_GB2312" w:eastAsia="仿宋_GB2312" w:cs="仿宋_GB2312"/>
                <w:b/>
                <w:bCs/>
                <w:color w:val="auto"/>
                <w:szCs w:val="21"/>
              </w:rPr>
              <w:t>部门</w:t>
            </w:r>
          </w:p>
        </w:tc>
        <w:tc>
          <w:tcPr>
            <w:tcW w:w="7412" w:type="dxa"/>
            <w:vAlign w:val="center"/>
          </w:tcPr>
          <w:p>
            <w:pPr>
              <w:spacing w:line="270" w:lineRule="exact"/>
              <w:jc w:val="center"/>
              <w:rPr>
                <w:rFonts w:ascii="仿宋_GB2312" w:hAnsi="仿宋_GB2312" w:eastAsia="仿宋_GB2312" w:cs="仿宋_GB2312"/>
                <w:b/>
                <w:bCs/>
                <w:color w:val="auto"/>
                <w:szCs w:val="21"/>
              </w:rPr>
            </w:pPr>
            <w:r>
              <w:rPr>
                <w:rFonts w:hint="eastAsia" w:ascii="仿宋_GB2312" w:hAnsi="仿宋_GB2312" w:eastAsia="仿宋_GB2312" w:cs="仿宋_GB2312"/>
                <w:b/>
                <w:bCs/>
                <w:color w:val="auto"/>
                <w:szCs w:val="21"/>
              </w:rPr>
              <w:t>职权依据</w:t>
            </w:r>
          </w:p>
        </w:tc>
        <w:tc>
          <w:tcPr>
            <w:tcW w:w="953" w:type="dxa"/>
            <w:vAlign w:val="center"/>
          </w:tcPr>
          <w:p>
            <w:pPr>
              <w:jc w:val="center"/>
              <w:rPr>
                <w:rFonts w:ascii="仿宋_GB2312" w:hAnsi="仿宋_GB2312" w:eastAsia="仿宋_GB2312" w:cs="仿宋_GB2312"/>
                <w:b/>
                <w:bCs/>
                <w:color w:val="auto"/>
                <w:szCs w:val="21"/>
              </w:rPr>
            </w:pPr>
            <w:r>
              <w:rPr>
                <w:rFonts w:hint="eastAsia" w:ascii="仿宋_GB2312" w:hAnsi="仿宋_GB2312" w:eastAsia="仿宋_GB2312" w:cs="仿宋_GB2312"/>
                <w:b/>
                <w:bCs/>
                <w:color w:val="auto"/>
                <w:szCs w:val="21"/>
              </w:rPr>
              <w:t>行使</w:t>
            </w:r>
          </w:p>
          <w:p>
            <w:pPr>
              <w:jc w:val="center"/>
              <w:rPr>
                <w:rFonts w:ascii="仿宋_GB2312" w:hAnsi="仿宋_GB2312" w:eastAsia="仿宋_GB2312" w:cs="仿宋_GB2312"/>
                <w:b/>
                <w:bCs/>
                <w:color w:val="auto"/>
                <w:szCs w:val="21"/>
              </w:rPr>
            </w:pPr>
            <w:r>
              <w:rPr>
                <w:rFonts w:hint="eastAsia" w:ascii="仿宋_GB2312" w:hAnsi="仿宋_GB2312" w:eastAsia="仿宋_GB2312" w:cs="仿宋_GB2312"/>
                <w:b/>
                <w:bCs/>
                <w:color w:val="auto"/>
                <w:szCs w:val="21"/>
              </w:rPr>
              <w:t>层级</w:t>
            </w:r>
          </w:p>
        </w:tc>
        <w:tc>
          <w:tcPr>
            <w:tcW w:w="2690" w:type="dxa"/>
            <w:vAlign w:val="center"/>
          </w:tcPr>
          <w:p>
            <w:pPr>
              <w:jc w:val="center"/>
              <w:rPr>
                <w:rFonts w:ascii="仿宋_GB2312" w:hAnsi="仿宋_GB2312" w:eastAsia="仿宋_GB2312" w:cs="仿宋_GB2312"/>
                <w:b/>
                <w:bCs/>
                <w:color w:val="auto"/>
                <w:szCs w:val="21"/>
              </w:rPr>
            </w:pPr>
            <w:r>
              <w:rPr>
                <w:rFonts w:hint="eastAsia" w:ascii="仿宋_GB2312" w:hAnsi="仿宋_GB2312" w:eastAsia="仿宋_GB2312" w:cs="仿宋_GB2312"/>
                <w:b/>
                <w:bCs/>
                <w:color w:val="auto"/>
                <w:szCs w:val="21"/>
              </w:rPr>
              <w:t>行使内容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4" w:hRule="atLeast"/>
          <w:jc w:val="center"/>
        </w:trPr>
        <w:tc>
          <w:tcPr>
            <w:tcW w:w="714" w:type="dxa"/>
            <w:vMerge w:val="restart"/>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1</w:t>
            </w:r>
          </w:p>
        </w:tc>
        <w:tc>
          <w:tcPr>
            <w:tcW w:w="1148" w:type="dxa"/>
            <w:vMerge w:val="restart"/>
            <w:vAlign w:val="center"/>
          </w:tcPr>
          <w:p>
            <w:pPr>
              <w:rPr>
                <w:rFonts w:ascii="仿宋_GB2312" w:hAnsi="仿宋_GB2312" w:eastAsia="仿宋_GB2312" w:cs="仿宋_GB2312"/>
                <w:color w:val="auto"/>
                <w:szCs w:val="21"/>
              </w:rPr>
            </w:pPr>
            <w:r>
              <w:rPr>
                <w:rFonts w:hint="eastAsia" w:ascii="仿宋_GB2312" w:hAnsi="仿宋_GB2312" w:eastAsia="仿宋_GB2312" w:cs="仿宋_GB2312"/>
                <w:bCs/>
                <w:color w:val="auto"/>
                <w:szCs w:val="21"/>
              </w:rPr>
              <w:t>申请人对法律援助机构作出的处理有异议的审查</w:t>
            </w:r>
          </w:p>
        </w:tc>
        <w:tc>
          <w:tcPr>
            <w:tcW w:w="775" w:type="dxa"/>
            <w:vMerge w:val="restart"/>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1009001000</w:t>
            </w:r>
          </w:p>
        </w:tc>
        <w:tc>
          <w:tcPr>
            <w:tcW w:w="823" w:type="dxa"/>
            <w:vMerge w:val="restart"/>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法律援助中心</w:t>
            </w:r>
          </w:p>
        </w:tc>
        <w:tc>
          <w:tcPr>
            <w:tcW w:w="7412" w:type="dxa"/>
            <w:vMerge w:val="restart"/>
            <w:vAlign w:val="center"/>
          </w:tcPr>
          <w:p>
            <w:pPr>
              <w:spacing w:line="270" w:lineRule="exact"/>
              <w:ind w:firstLine="420" w:firstLineChars="20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【地方性法规】《宁夏回族自治区法律援助条例》（20</w:t>
            </w:r>
            <w:r>
              <w:rPr>
                <w:rFonts w:ascii="仿宋_GB2312" w:hAnsi="仿宋_GB2312" w:eastAsia="仿宋_GB2312" w:cs="仿宋_GB2312"/>
                <w:color w:val="auto"/>
                <w:szCs w:val="21"/>
              </w:rPr>
              <w:t>17</w:t>
            </w:r>
            <w:r>
              <w:rPr>
                <w:rFonts w:hint="eastAsia" w:ascii="仿宋_GB2312" w:hAnsi="仿宋_GB2312" w:eastAsia="仿宋_GB2312" w:cs="仿宋_GB2312"/>
                <w:color w:val="auto"/>
                <w:szCs w:val="21"/>
              </w:rPr>
              <w:t>年修正）</w:t>
            </w:r>
          </w:p>
          <w:p>
            <w:pPr>
              <w:spacing w:line="270" w:lineRule="exact"/>
              <w:ind w:firstLine="420" w:firstLineChars="20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第十七条 法律援助机构应当自收到公民申请之日起五个工作日内进行审查，并根据下列情况分别作出处理:(一)请求事项属于法律援助范围和本法律援助机构受理的，应当出具书面受理决定;(二)认为申请人提交的证件、证明材料不齐全的，可以要求申请人作出必要的补充或者说明，申请人未按要求作出补充或者说明的，视为撤销申请;认为申请人提交的证件、证明材料需要查证的，由法律援助机构向有关机关、单位查证;(三)请求事项不属于本法律援助机构受理的，应当书面告知申请人向具有受理职责的法律援助机构提出;(四)对不符合法律援助条件或者请求事项不属于法律援助范围的，应当书面告知申请人不予受理的理由。</w:t>
            </w:r>
          </w:p>
          <w:p>
            <w:pPr>
              <w:spacing w:line="270" w:lineRule="exact"/>
              <w:ind w:firstLine="420" w:firstLineChars="20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申请人对法律援助机构依据前款(二)、(三)、(四)项规定作出的处理有异议的，可以要求法律援助机构重新审查，或者直接向确定该法律援助机构的司法行政部门提出，司法行政部门应当在收到异议申请之日起五个工作日内进行审查，经审查认为申请人符合法律援助条件的，应当书面责令法律援助机构及时对该申请人提供法律援助。</w:t>
            </w:r>
          </w:p>
        </w:tc>
        <w:tc>
          <w:tcPr>
            <w:tcW w:w="953"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自治区</w:t>
            </w:r>
          </w:p>
        </w:tc>
        <w:tc>
          <w:tcPr>
            <w:tcW w:w="2690" w:type="dxa"/>
            <w:vAlign w:val="center"/>
          </w:tcPr>
          <w:p>
            <w:pPr>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本级法律援助机构作出的处理审查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4" w:hRule="atLeast"/>
          <w:jc w:val="center"/>
        </w:trPr>
        <w:tc>
          <w:tcPr>
            <w:tcW w:w="714" w:type="dxa"/>
            <w:vMerge w:val="continue"/>
            <w:vAlign w:val="center"/>
          </w:tcPr>
          <w:p>
            <w:pPr>
              <w:jc w:val="left"/>
              <w:rPr>
                <w:rFonts w:ascii="仿宋_GB2312" w:hAnsi="仿宋_GB2312" w:eastAsia="仿宋_GB2312" w:cs="仿宋_GB2312"/>
                <w:color w:val="auto"/>
                <w:szCs w:val="21"/>
              </w:rPr>
            </w:pPr>
          </w:p>
        </w:tc>
        <w:tc>
          <w:tcPr>
            <w:tcW w:w="1148" w:type="dxa"/>
            <w:vMerge w:val="continue"/>
            <w:vAlign w:val="center"/>
          </w:tcPr>
          <w:p>
            <w:pPr>
              <w:rPr>
                <w:rFonts w:ascii="仿宋_GB2312" w:hAnsi="仿宋_GB2312" w:eastAsia="仿宋_GB2312" w:cs="仿宋_GB2312"/>
                <w:color w:val="auto"/>
                <w:szCs w:val="21"/>
              </w:rPr>
            </w:pPr>
          </w:p>
        </w:tc>
        <w:tc>
          <w:tcPr>
            <w:tcW w:w="775" w:type="dxa"/>
            <w:vMerge w:val="continue"/>
            <w:vAlign w:val="center"/>
          </w:tcPr>
          <w:p>
            <w:pPr>
              <w:jc w:val="center"/>
              <w:rPr>
                <w:rFonts w:ascii="仿宋_GB2312" w:hAnsi="仿宋_GB2312" w:eastAsia="仿宋_GB2312" w:cs="仿宋_GB2312"/>
                <w:color w:val="auto"/>
                <w:szCs w:val="21"/>
              </w:rPr>
            </w:pPr>
          </w:p>
        </w:tc>
        <w:tc>
          <w:tcPr>
            <w:tcW w:w="823" w:type="dxa"/>
            <w:vMerge w:val="continue"/>
            <w:vAlign w:val="center"/>
          </w:tcPr>
          <w:p>
            <w:pPr>
              <w:jc w:val="center"/>
              <w:rPr>
                <w:rFonts w:ascii="仿宋_GB2312" w:hAnsi="仿宋_GB2312" w:eastAsia="仿宋_GB2312" w:cs="仿宋_GB2312"/>
                <w:color w:val="auto"/>
                <w:szCs w:val="21"/>
              </w:rPr>
            </w:pPr>
          </w:p>
        </w:tc>
        <w:tc>
          <w:tcPr>
            <w:tcW w:w="7412" w:type="dxa"/>
            <w:vMerge w:val="continue"/>
            <w:vAlign w:val="center"/>
          </w:tcPr>
          <w:p>
            <w:pPr>
              <w:spacing w:line="270" w:lineRule="exact"/>
              <w:jc w:val="left"/>
              <w:rPr>
                <w:rFonts w:ascii="仿宋_GB2312" w:hAnsi="仿宋_GB2312" w:eastAsia="仿宋_GB2312" w:cs="仿宋_GB2312"/>
                <w:color w:val="auto"/>
                <w:szCs w:val="21"/>
              </w:rPr>
            </w:pPr>
          </w:p>
        </w:tc>
        <w:tc>
          <w:tcPr>
            <w:tcW w:w="953" w:type="dxa"/>
            <w:vAlign w:val="center"/>
          </w:tcPr>
          <w:p>
            <w:pPr>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设区</w:t>
            </w:r>
          </w:p>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的市</w:t>
            </w:r>
          </w:p>
        </w:tc>
        <w:tc>
          <w:tcPr>
            <w:tcW w:w="2690" w:type="dxa"/>
            <w:vAlign w:val="center"/>
          </w:tcPr>
          <w:p>
            <w:pPr>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本级法律援助机构作出的处理审查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4" w:hRule="atLeast"/>
          <w:jc w:val="center"/>
        </w:trPr>
        <w:tc>
          <w:tcPr>
            <w:tcW w:w="714" w:type="dxa"/>
            <w:vMerge w:val="continue"/>
            <w:vAlign w:val="center"/>
          </w:tcPr>
          <w:p>
            <w:pPr>
              <w:jc w:val="left"/>
              <w:rPr>
                <w:rFonts w:ascii="仿宋_GB2312" w:hAnsi="仿宋_GB2312" w:eastAsia="仿宋_GB2312" w:cs="仿宋_GB2312"/>
                <w:color w:val="auto"/>
                <w:szCs w:val="21"/>
              </w:rPr>
            </w:pPr>
          </w:p>
        </w:tc>
        <w:tc>
          <w:tcPr>
            <w:tcW w:w="1148" w:type="dxa"/>
            <w:vMerge w:val="continue"/>
            <w:vAlign w:val="center"/>
          </w:tcPr>
          <w:p>
            <w:pPr>
              <w:rPr>
                <w:rFonts w:ascii="仿宋_GB2312" w:hAnsi="仿宋_GB2312" w:eastAsia="仿宋_GB2312" w:cs="仿宋_GB2312"/>
                <w:color w:val="auto"/>
                <w:szCs w:val="21"/>
              </w:rPr>
            </w:pPr>
          </w:p>
        </w:tc>
        <w:tc>
          <w:tcPr>
            <w:tcW w:w="775" w:type="dxa"/>
            <w:vMerge w:val="continue"/>
            <w:vAlign w:val="center"/>
          </w:tcPr>
          <w:p>
            <w:pPr>
              <w:jc w:val="center"/>
              <w:rPr>
                <w:rFonts w:ascii="仿宋_GB2312" w:hAnsi="仿宋_GB2312" w:eastAsia="仿宋_GB2312" w:cs="仿宋_GB2312"/>
                <w:color w:val="auto"/>
                <w:szCs w:val="21"/>
              </w:rPr>
            </w:pPr>
          </w:p>
        </w:tc>
        <w:tc>
          <w:tcPr>
            <w:tcW w:w="823" w:type="dxa"/>
            <w:vMerge w:val="continue"/>
            <w:vAlign w:val="center"/>
          </w:tcPr>
          <w:p>
            <w:pPr>
              <w:jc w:val="center"/>
              <w:rPr>
                <w:rFonts w:ascii="仿宋_GB2312" w:hAnsi="仿宋_GB2312" w:eastAsia="仿宋_GB2312" w:cs="仿宋_GB2312"/>
                <w:color w:val="auto"/>
                <w:szCs w:val="21"/>
              </w:rPr>
            </w:pPr>
          </w:p>
        </w:tc>
        <w:tc>
          <w:tcPr>
            <w:tcW w:w="7412" w:type="dxa"/>
            <w:vMerge w:val="continue"/>
            <w:vAlign w:val="center"/>
          </w:tcPr>
          <w:p>
            <w:pPr>
              <w:spacing w:line="270" w:lineRule="exact"/>
              <w:jc w:val="left"/>
              <w:rPr>
                <w:rFonts w:ascii="仿宋_GB2312" w:hAnsi="仿宋_GB2312" w:eastAsia="仿宋_GB2312" w:cs="仿宋_GB2312"/>
                <w:color w:val="auto"/>
                <w:szCs w:val="21"/>
              </w:rPr>
            </w:pPr>
          </w:p>
        </w:tc>
        <w:tc>
          <w:tcPr>
            <w:tcW w:w="953"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县级</w:t>
            </w:r>
          </w:p>
        </w:tc>
        <w:tc>
          <w:tcPr>
            <w:tcW w:w="2690" w:type="dxa"/>
            <w:vAlign w:val="center"/>
          </w:tcPr>
          <w:p>
            <w:pPr>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本级法律援助机构作出的处理审查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jc w:val="center"/>
        </w:trPr>
        <w:tc>
          <w:tcPr>
            <w:tcW w:w="714" w:type="dxa"/>
            <w:vAlign w:val="center"/>
          </w:tcPr>
          <w:p>
            <w:pPr>
              <w:jc w:val="center"/>
              <w:rPr>
                <w:rFonts w:ascii="仿宋_GB2312" w:hAnsi="仿宋_GB2312" w:eastAsia="仿宋_GB2312" w:cs="仿宋_GB2312"/>
                <w:color w:val="auto"/>
                <w:szCs w:val="21"/>
              </w:rPr>
            </w:pPr>
            <w:r>
              <w:rPr>
                <w:rFonts w:ascii="仿宋_GB2312" w:hAnsi="仿宋_GB2312" w:eastAsia="仿宋_GB2312" w:cs="仿宋_GB2312"/>
                <w:color w:val="auto"/>
                <w:szCs w:val="21"/>
              </w:rPr>
              <w:t>2</w:t>
            </w:r>
          </w:p>
        </w:tc>
        <w:tc>
          <w:tcPr>
            <w:tcW w:w="1148" w:type="dxa"/>
            <w:vAlign w:val="center"/>
          </w:tcPr>
          <w:p>
            <w:pP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外国律师事务所代表机构及代表注册、年检</w:t>
            </w:r>
          </w:p>
        </w:tc>
        <w:tc>
          <w:tcPr>
            <w:tcW w:w="775"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1009002000</w:t>
            </w:r>
          </w:p>
        </w:tc>
        <w:tc>
          <w:tcPr>
            <w:tcW w:w="823"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412" w:type="dxa"/>
            <w:vAlign w:val="center"/>
          </w:tcPr>
          <w:p>
            <w:pPr>
              <w:spacing w:line="270" w:lineRule="exact"/>
              <w:ind w:firstLine="357"/>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【行政法规】《外国律师事务所驻华代表机构管理条例》（2002年国务院令第338号）</w:t>
            </w:r>
          </w:p>
          <w:p>
            <w:pPr>
              <w:spacing w:line="270" w:lineRule="exact"/>
              <w:ind w:firstLine="357"/>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第十条 代表机构及其代表，应当持执业执照、执业证书在代表机构住所地的省、自治区、直辖市司法行政部门办理注册手续后，方可开展本条例规定的法律服务活动。代表机构及其代表每年应当注册一次。</w:t>
            </w:r>
          </w:p>
          <w:p>
            <w:pPr>
              <w:spacing w:line="270" w:lineRule="exact"/>
              <w:ind w:firstLine="420" w:firstLineChars="20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省、自治区、直辖市人民政府司法行政部门应当自接到注册申请之日起２日内办理注册手续。</w:t>
            </w:r>
          </w:p>
          <w:p>
            <w:pPr>
              <w:spacing w:line="270" w:lineRule="exact"/>
              <w:ind w:firstLine="420" w:firstLineChars="20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第二十二条第一款 代表机构应当于每年３月３１日前向住所地的省、自治区、直辖市人民政府司法行政部门提交执业执照和代表执业证书的副本以及下列上一年度检验材料，接受年度检验：……。</w:t>
            </w:r>
          </w:p>
        </w:tc>
        <w:tc>
          <w:tcPr>
            <w:tcW w:w="953"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自治区</w:t>
            </w:r>
          </w:p>
        </w:tc>
        <w:tc>
          <w:tcPr>
            <w:tcW w:w="2690" w:type="dxa"/>
            <w:vAlign w:val="center"/>
          </w:tcPr>
          <w:p>
            <w:pPr>
              <w:jc w:val="center"/>
              <w:rPr>
                <w:rFonts w:hint="eastAsia"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注册、年检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1" w:hRule="atLeast"/>
          <w:jc w:val="center"/>
        </w:trPr>
        <w:tc>
          <w:tcPr>
            <w:tcW w:w="714" w:type="dxa"/>
            <w:vMerge w:val="restart"/>
            <w:vAlign w:val="center"/>
          </w:tcPr>
          <w:p>
            <w:pPr>
              <w:jc w:val="center"/>
              <w:rPr>
                <w:rFonts w:ascii="仿宋_GB2312" w:hAnsi="仿宋_GB2312" w:eastAsia="仿宋_GB2312" w:cs="仿宋_GB2312"/>
                <w:color w:val="auto"/>
                <w:szCs w:val="21"/>
              </w:rPr>
            </w:pPr>
            <w:r>
              <w:rPr>
                <w:rFonts w:ascii="仿宋_GB2312" w:hAnsi="仿宋_GB2312" w:eastAsia="仿宋_GB2312" w:cs="仿宋_GB2312"/>
                <w:color w:val="auto"/>
                <w:szCs w:val="21"/>
              </w:rPr>
              <w:t>3</w:t>
            </w:r>
          </w:p>
        </w:tc>
        <w:tc>
          <w:tcPr>
            <w:tcW w:w="1148" w:type="dxa"/>
            <w:vMerge w:val="restart"/>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对国家统一法律职业资格考试违纪行为的处理</w:t>
            </w:r>
          </w:p>
        </w:tc>
        <w:tc>
          <w:tcPr>
            <w:tcW w:w="775" w:type="dxa"/>
            <w:vMerge w:val="restart"/>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1009003000</w:t>
            </w:r>
          </w:p>
        </w:tc>
        <w:tc>
          <w:tcPr>
            <w:tcW w:w="823" w:type="dxa"/>
            <w:vMerge w:val="restart"/>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412" w:type="dxa"/>
            <w:vMerge w:val="restart"/>
            <w:vAlign w:val="center"/>
          </w:tcPr>
          <w:p>
            <w:pPr>
              <w:spacing w:line="270" w:lineRule="exact"/>
              <w:ind w:firstLine="420" w:firstLineChars="20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【法律】《中华人民共和国律师法》（2017修正）</w:t>
            </w:r>
          </w:p>
          <w:p>
            <w:pPr>
              <w:spacing w:line="270" w:lineRule="exact"/>
              <w:ind w:firstLine="420" w:firstLineChars="20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第五条 申请律师执业，应当具备下列条件……（二）通过国家统一法律职业资格考试取得法律职业资格;……。</w:t>
            </w:r>
          </w:p>
          <w:p>
            <w:pPr>
              <w:spacing w:line="270" w:lineRule="exact"/>
              <w:ind w:firstLine="420" w:firstLineChars="20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【法律】《中华人民共和国公证法》（2017年修正）</w:t>
            </w:r>
          </w:p>
          <w:p>
            <w:pPr>
              <w:spacing w:line="270" w:lineRule="exact"/>
              <w:ind w:firstLine="420" w:firstLineChars="20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第十八条 担任公证员，应当具备下列条件……（四）通过国家统一法律职业资格考试取得法律职业资格;……。</w:t>
            </w:r>
          </w:p>
          <w:p>
            <w:pPr>
              <w:spacing w:line="270" w:lineRule="exact"/>
              <w:ind w:firstLine="420" w:firstLineChars="20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【法律】《中华人民共和国法官法》（2017年修正）</w:t>
            </w:r>
          </w:p>
          <w:p>
            <w:pPr>
              <w:spacing w:line="270" w:lineRule="exact"/>
              <w:ind w:firstLine="420" w:firstLineChars="20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第五十一条 国家对初任法官实行统一法律职业资格考试制度，由国务院司法行政部门商最高人民法院等有关部门组织实施。</w:t>
            </w:r>
          </w:p>
          <w:p>
            <w:pPr>
              <w:spacing w:line="270" w:lineRule="exact"/>
              <w:ind w:firstLine="420" w:firstLineChars="20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【法律】《中华人民共和国检察官法》（2017年修正）</w:t>
            </w:r>
          </w:p>
          <w:p>
            <w:pPr>
              <w:spacing w:line="270" w:lineRule="exact"/>
              <w:ind w:firstLine="420" w:firstLineChars="20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第五十四条 国家对初任检察官实行统一法律职业资格考试制度，由国务院司法行政部门商最高人民检察院等有关部门组织实施。</w:t>
            </w:r>
          </w:p>
          <w:p>
            <w:pPr>
              <w:spacing w:line="270" w:lineRule="exact"/>
              <w:ind w:firstLine="420" w:firstLineChars="20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【部门规章】《国家司法考试违纪行为处理办法》（2016年司法部令第135号修订）</w:t>
            </w:r>
          </w:p>
          <w:p>
            <w:pPr>
              <w:spacing w:line="270" w:lineRule="exact"/>
              <w:ind w:firstLine="420" w:firstLineChars="200"/>
              <w:jc w:val="left"/>
              <w:rPr>
                <w:rFonts w:ascii="仿宋_GB2312" w:hAnsi="仿宋_GB2312" w:eastAsia="仿宋_GB2312" w:cs="仿宋_GB2312"/>
                <w:color w:val="auto"/>
                <w:szCs w:val="21"/>
              </w:rPr>
            </w:pPr>
            <w:r>
              <w:rPr>
                <w:rFonts w:ascii="仿宋_GB2312" w:hAnsi="仿宋_GB2312" w:eastAsia="仿宋_GB2312" w:cs="仿宋_GB2312"/>
                <w:color w:val="auto"/>
                <w:szCs w:val="21"/>
              </w:rPr>
              <w:t>第五条</w:t>
            </w:r>
            <w:r>
              <w:rPr>
                <w:rFonts w:hint="eastAsia" w:ascii="仿宋_GB2312" w:hAnsi="仿宋_GB2312" w:eastAsia="仿宋_GB2312" w:cs="仿宋_GB2312"/>
                <w:color w:val="auto"/>
                <w:szCs w:val="21"/>
              </w:rPr>
              <w:t xml:space="preserve"> </w:t>
            </w:r>
            <w:r>
              <w:rPr>
                <w:rFonts w:ascii="仿宋_GB2312" w:hAnsi="仿宋_GB2312" w:eastAsia="仿宋_GB2312" w:cs="仿宋_GB2312"/>
                <w:color w:val="auto"/>
                <w:szCs w:val="21"/>
              </w:rPr>
              <w:t>报名人员提供虚假证明材料或者以其他形式骗取报名的，由其报名所在地司法行政机关作出报名无效的决定；已经参加考试的，由省、自治区、直辖市司法行政机关给予其当年考试成绩无效的处理；已经取得法律职业资格的，由司法部撤销授予法律职业资格的决定，并收回、注销其《法律职业资格证书》。</w:t>
            </w:r>
          </w:p>
          <w:p>
            <w:pPr>
              <w:spacing w:line="270" w:lineRule="exact"/>
              <w:ind w:firstLine="420" w:firstLineChars="200"/>
              <w:jc w:val="left"/>
              <w:rPr>
                <w:rFonts w:ascii="仿宋_GB2312" w:hAnsi="仿宋_GB2312" w:eastAsia="仿宋_GB2312" w:cs="仿宋_GB2312"/>
                <w:color w:val="auto"/>
                <w:szCs w:val="21"/>
              </w:rPr>
            </w:pPr>
            <w:r>
              <w:rPr>
                <w:rFonts w:ascii="仿宋_GB2312" w:hAnsi="仿宋_GB2312" w:eastAsia="仿宋_GB2312" w:cs="仿宋_GB2312"/>
                <w:color w:val="auto"/>
                <w:szCs w:val="21"/>
              </w:rPr>
              <w:t>第六条 应试人员有下列行为之一的，由其所在考场场内监考人员给予口头警告，并责令改正；经口头警告仍不改正的，由场内监考人员报考点总监考人决定给予其责令离开考场的处理，并报考区所在地司法行政机关决定取消其本场考试成绩：（一）违反规定随身携带书籍、笔记、报纸、稿纸、通讯工具、电子用品等物品进入考场或者未放至指定位置的；（二）考试开始前答题或者考试结束后继续答题的；（三）考试开始三十分钟后仍未按规定在试卷、答卷（答题卡）标明的位置填写、填涂姓名、准考证号或者不粘贴条形码的；（四）考试期间交头接耳、左顾右盼的；（五）在考场内喧哗、走动或者有其他影响考试秩序行为的；（六）未在与本人准考证号相符的位置就座答题的；（七）答题用笔不符合规定的；（八）抄写试题或者本人答案带出考场的；（九）考试期间违反规定擅自出入考场的；（十）有需要给予相应处理的其他违纪行为的。</w:t>
            </w:r>
          </w:p>
          <w:p>
            <w:pPr>
              <w:spacing w:line="270" w:lineRule="exact"/>
              <w:ind w:firstLine="420" w:firstLineChars="200"/>
              <w:jc w:val="left"/>
              <w:rPr>
                <w:rFonts w:ascii="仿宋_GB2312" w:hAnsi="仿宋_GB2312" w:eastAsia="仿宋_GB2312" w:cs="仿宋_GB2312"/>
                <w:color w:val="auto"/>
                <w:szCs w:val="21"/>
              </w:rPr>
            </w:pPr>
            <w:r>
              <w:rPr>
                <w:rFonts w:ascii="仿宋_GB2312" w:hAnsi="仿宋_GB2312" w:eastAsia="仿宋_GB2312" w:cs="仿宋_GB2312"/>
                <w:color w:val="auto"/>
                <w:szCs w:val="21"/>
              </w:rPr>
              <w:t>有前款第（一）项规定情形的，在给予相应处理的同时，应当责令应试人员将有关物品交由场内监考人员统一保管。</w:t>
            </w:r>
          </w:p>
          <w:p>
            <w:pPr>
              <w:spacing w:line="270" w:lineRule="exact"/>
              <w:ind w:firstLine="420" w:firstLineChars="200"/>
              <w:jc w:val="left"/>
              <w:rPr>
                <w:rFonts w:ascii="仿宋_GB2312" w:hAnsi="仿宋_GB2312" w:eastAsia="仿宋_GB2312" w:cs="仿宋_GB2312"/>
                <w:color w:val="auto"/>
                <w:szCs w:val="21"/>
              </w:rPr>
            </w:pPr>
            <w:r>
              <w:rPr>
                <w:rFonts w:ascii="仿宋_GB2312" w:hAnsi="仿宋_GB2312" w:eastAsia="仿宋_GB2312" w:cs="仿宋_GB2312"/>
                <w:color w:val="auto"/>
                <w:szCs w:val="21"/>
              </w:rPr>
              <w:t>第七条 应试人员有下列行为之一的，由其所在考场场内监考人员报考点总监考人决定给予其责令离开考场的处理，并报考区所在地司法行政机关决定给予其当年考试成绩无效的处理：（一）抄袭、查看、偷听违规带进考场的与考试内容有关的文字、视听资料的；（二）考试开始后被查出携带电子作弊设备的；（三）以讨论、互打手势等方式传递答题信息的；（四）与他人交换试卷、答卷（答题卡）的；（五）偷看、抄袭他人答案或者同意、默许、协助他人抄袭本人答案的；（六）在答卷（答题卡）上作提示标记或者在非署名处署名的；（七）故意损毁试卷、答卷（答题卡）、条形码或者将试卷、答卷（答题卡）带出考场的；（八）有需要给予相应处理的其他违纪行为的。</w:t>
            </w:r>
          </w:p>
          <w:p>
            <w:pPr>
              <w:spacing w:line="270" w:lineRule="exact"/>
              <w:ind w:firstLine="420" w:firstLineChars="200"/>
              <w:jc w:val="left"/>
              <w:rPr>
                <w:rFonts w:ascii="仿宋_GB2312" w:hAnsi="仿宋_GB2312" w:eastAsia="仿宋_GB2312" w:cs="仿宋_GB2312"/>
                <w:color w:val="auto"/>
                <w:szCs w:val="21"/>
              </w:rPr>
            </w:pPr>
            <w:r>
              <w:rPr>
                <w:rFonts w:ascii="仿宋_GB2312" w:hAnsi="仿宋_GB2312" w:eastAsia="仿宋_GB2312" w:cs="仿宋_GB2312"/>
                <w:color w:val="auto"/>
                <w:szCs w:val="21"/>
              </w:rPr>
              <w:t>第八条 应试人员有下列行为之一的，由省、自治区、直辖市司法行政机关决定给予其当年考试成绩无效、二年内不得报名参加国家司法考试的处理；当场发现的，由考点总监考人决定给予其责令离开考场的处理，并经考区所在地司法行政机关报省、自治区、直辖市司法行政机关按照前述规定处理：（一）使用伪造、变造的居民身份证、户口簿、准考证以及其他证明材料参加考试的；（二）故意妨碍监考人员或者其他考试工作人员履行职责的；（三）威胁、侮辱、殴打监考人员或者其他考试工作人员的；（四）有其他严重作弊或者严重扰乱考场秩序行为的。</w:t>
            </w:r>
          </w:p>
          <w:p>
            <w:pPr>
              <w:spacing w:line="270" w:lineRule="exact"/>
              <w:ind w:firstLine="420" w:firstLineChars="200"/>
              <w:jc w:val="left"/>
              <w:rPr>
                <w:rFonts w:ascii="仿宋_GB2312" w:hAnsi="仿宋_GB2312" w:eastAsia="仿宋_GB2312" w:cs="仿宋_GB2312"/>
                <w:color w:val="auto"/>
                <w:szCs w:val="21"/>
              </w:rPr>
            </w:pPr>
            <w:r>
              <w:rPr>
                <w:rFonts w:ascii="仿宋_GB2312" w:hAnsi="仿宋_GB2312" w:eastAsia="仿宋_GB2312" w:cs="仿宋_GB2312"/>
                <w:color w:val="auto"/>
                <w:szCs w:val="21"/>
              </w:rPr>
              <w:t>有前款规定情形，构成违反治安管理行为的，移交公安机关处理。</w:t>
            </w:r>
          </w:p>
          <w:p>
            <w:pPr>
              <w:spacing w:line="270" w:lineRule="exact"/>
              <w:ind w:firstLine="420" w:firstLineChars="200"/>
              <w:jc w:val="left"/>
              <w:rPr>
                <w:rFonts w:ascii="仿宋_GB2312" w:hAnsi="仿宋_GB2312" w:eastAsia="仿宋_GB2312" w:cs="仿宋_GB2312"/>
                <w:color w:val="auto"/>
                <w:szCs w:val="21"/>
              </w:rPr>
            </w:pPr>
            <w:r>
              <w:rPr>
                <w:rFonts w:ascii="仿宋_GB2312" w:hAnsi="仿宋_GB2312" w:eastAsia="仿宋_GB2312" w:cs="仿宋_GB2312"/>
                <w:color w:val="auto"/>
                <w:szCs w:val="21"/>
              </w:rPr>
              <w:t>第九条</w:t>
            </w:r>
            <w:r>
              <w:rPr>
                <w:rFonts w:hint="eastAsia" w:ascii="仿宋_GB2312" w:hAnsi="仿宋_GB2312" w:eastAsia="仿宋_GB2312" w:cs="仿宋_GB2312"/>
                <w:color w:val="auto"/>
                <w:szCs w:val="21"/>
              </w:rPr>
              <w:t xml:space="preserve"> </w:t>
            </w:r>
            <w:r>
              <w:rPr>
                <w:rFonts w:ascii="仿宋_GB2312" w:hAnsi="仿宋_GB2312" w:eastAsia="仿宋_GB2312" w:cs="仿宋_GB2312"/>
                <w:color w:val="auto"/>
                <w:szCs w:val="21"/>
              </w:rPr>
              <w:t>应试人员有下列行为之一的，由省、自治区、直辖市司法行政机关决定给予其当年考试成绩无效、终身不得报名参加国家司法考试的处理；当场发现的，由考点总监考人决定给予其责令离开考场的处理，并经考区所在地司法行政机关报省、自治区、直辖市司法行政机关按照前述规定处理：（一）有第八条第一款第（一）项规定情形，情节严重的；（二）在考试过程中使用考试作弊器材接收或者发送与考试内容相关信息的；（三）组织作弊，或者为他人实施组织作弊行为提供作弊器材或者其他帮助的；（四）为实施考试作弊行为，非法获取考试试题、答案或者向他人非法出售、提供考试试题、答案的；（五）代替他人考试或者让他人代替自己参加考试的；（六）有其他特别严重作弊行为的。</w:t>
            </w:r>
          </w:p>
          <w:p>
            <w:pPr>
              <w:spacing w:line="270" w:lineRule="exact"/>
              <w:ind w:firstLine="420" w:firstLineChars="200"/>
              <w:jc w:val="left"/>
              <w:rPr>
                <w:rFonts w:ascii="仿宋_GB2312" w:hAnsi="仿宋_GB2312" w:eastAsia="仿宋_GB2312" w:cs="仿宋_GB2312"/>
                <w:color w:val="auto"/>
                <w:szCs w:val="21"/>
              </w:rPr>
            </w:pPr>
            <w:r>
              <w:rPr>
                <w:rFonts w:ascii="仿宋_GB2312" w:hAnsi="仿宋_GB2312" w:eastAsia="仿宋_GB2312" w:cs="仿宋_GB2312"/>
                <w:color w:val="auto"/>
                <w:szCs w:val="21"/>
              </w:rPr>
              <w:t>应试人员以及其他相关人员有前款规定情形，构成违反治安管理行为的，移交公安机关处理；构成犯罪的，移交司法机关处理。</w:t>
            </w:r>
          </w:p>
        </w:tc>
        <w:tc>
          <w:tcPr>
            <w:tcW w:w="953"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自治区</w:t>
            </w:r>
          </w:p>
        </w:tc>
        <w:tc>
          <w:tcPr>
            <w:tcW w:w="2690"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分级处理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0" w:hRule="atLeast"/>
          <w:jc w:val="center"/>
        </w:trPr>
        <w:tc>
          <w:tcPr>
            <w:tcW w:w="714" w:type="dxa"/>
            <w:vMerge w:val="continue"/>
            <w:vAlign w:val="center"/>
          </w:tcPr>
          <w:p>
            <w:pPr>
              <w:jc w:val="left"/>
              <w:rPr>
                <w:rFonts w:ascii="仿宋_GB2312" w:hAnsi="仿宋_GB2312" w:eastAsia="仿宋_GB2312" w:cs="仿宋_GB2312"/>
                <w:color w:val="auto"/>
                <w:szCs w:val="21"/>
              </w:rPr>
            </w:pPr>
          </w:p>
        </w:tc>
        <w:tc>
          <w:tcPr>
            <w:tcW w:w="1148" w:type="dxa"/>
            <w:vMerge w:val="continue"/>
            <w:vAlign w:val="center"/>
          </w:tcPr>
          <w:p>
            <w:pPr>
              <w:jc w:val="left"/>
              <w:rPr>
                <w:rFonts w:ascii="仿宋_GB2312" w:hAnsi="仿宋_GB2312" w:eastAsia="仿宋_GB2312" w:cs="仿宋_GB2312"/>
                <w:color w:val="auto"/>
                <w:szCs w:val="21"/>
              </w:rPr>
            </w:pPr>
          </w:p>
        </w:tc>
        <w:tc>
          <w:tcPr>
            <w:tcW w:w="775" w:type="dxa"/>
            <w:vMerge w:val="continue"/>
            <w:vAlign w:val="center"/>
          </w:tcPr>
          <w:p>
            <w:pPr>
              <w:jc w:val="center"/>
              <w:rPr>
                <w:rFonts w:ascii="仿宋_GB2312" w:hAnsi="仿宋_GB2312" w:eastAsia="仿宋_GB2312" w:cs="仿宋_GB2312"/>
                <w:color w:val="auto"/>
                <w:szCs w:val="21"/>
              </w:rPr>
            </w:pPr>
          </w:p>
        </w:tc>
        <w:tc>
          <w:tcPr>
            <w:tcW w:w="823" w:type="dxa"/>
            <w:vMerge w:val="continue"/>
            <w:vAlign w:val="center"/>
          </w:tcPr>
          <w:p>
            <w:pPr>
              <w:jc w:val="center"/>
              <w:rPr>
                <w:rFonts w:ascii="仿宋_GB2312" w:hAnsi="仿宋_GB2312" w:eastAsia="仿宋_GB2312" w:cs="仿宋_GB2312"/>
                <w:color w:val="auto"/>
                <w:szCs w:val="21"/>
              </w:rPr>
            </w:pPr>
          </w:p>
        </w:tc>
        <w:tc>
          <w:tcPr>
            <w:tcW w:w="7412" w:type="dxa"/>
            <w:vMerge w:val="continue"/>
            <w:vAlign w:val="center"/>
          </w:tcPr>
          <w:p>
            <w:pPr>
              <w:spacing w:line="270" w:lineRule="exact"/>
              <w:jc w:val="left"/>
              <w:rPr>
                <w:rFonts w:ascii="仿宋_GB2312" w:hAnsi="仿宋_GB2312" w:eastAsia="仿宋_GB2312" w:cs="仿宋_GB2312"/>
                <w:color w:val="auto"/>
                <w:szCs w:val="21"/>
              </w:rPr>
            </w:pPr>
          </w:p>
        </w:tc>
        <w:tc>
          <w:tcPr>
            <w:tcW w:w="953" w:type="dxa"/>
            <w:vAlign w:val="center"/>
          </w:tcPr>
          <w:p>
            <w:pPr>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设区</w:t>
            </w:r>
          </w:p>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的市</w:t>
            </w:r>
          </w:p>
        </w:tc>
        <w:tc>
          <w:tcPr>
            <w:tcW w:w="2690"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分级处理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3" w:hRule="atLeast"/>
          <w:jc w:val="center"/>
        </w:trPr>
        <w:tc>
          <w:tcPr>
            <w:tcW w:w="714" w:type="dxa"/>
            <w:vMerge w:val="restart"/>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4</w:t>
            </w:r>
          </w:p>
        </w:tc>
        <w:tc>
          <w:tcPr>
            <w:tcW w:w="1148" w:type="dxa"/>
            <w:vMerge w:val="restart"/>
            <w:vAlign w:val="center"/>
          </w:tcPr>
          <w:p>
            <w:pPr>
              <w:jc w:val="both"/>
              <w:rPr>
                <w:rFonts w:ascii="仿宋_GB2312" w:hAnsi="仿宋_GB2312" w:eastAsia="仿宋_GB2312" w:cs="仿宋_GB2312"/>
                <w:color w:val="auto"/>
                <w:szCs w:val="21"/>
                <w:shd w:val="clear" w:color="auto" w:fill="FFFFFF"/>
              </w:rPr>
            </w:pPr>
            <w:r>
              <w:rPr>
                <w:rFonts w:hint="eastAsia" w:ascii="仿宋_GB2312" w:hAnsi="仿宋_GB2312" w:eastAsia="仿宋_GB2312" w:cs="仿宋_GB2312"/>
                <w:color w:val="auto"/>
                <w:szCs w:val="21"/>
                <w:shd w:val="clear" w:color="auto" w:fill="FFFFFF"/>
              </w:rPr>
              <w:t>法律援助机构的设立</w:t>
            </w:r>
          </w:p>
        </w:tc>
        <w:tc>
          <w:tcPr>
            <w:tcW w:w="775" w:type="dxa"/>
            <w:vMerge w:val="restart"/>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1009004000</w:t>
            </w:r>
          </w:p>
        </w:tc>
        <w:tc>
          <w:tcPr>
            <w:tcW w:w="823" w:type="dxa"/>
            <w:vMerge w:val="restart"/>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412" w:type="dxa"/>
            <w:vMerge w:val="restart"/>
            <w:vAlign w:val="center"/>
          </w:tcPr>
          <w:p>
            <w:pPr>
              <w:pStyle w:val="8"/>
              <w:spacing w:before="0" w:beforeAutospacing="0" w:after="0" w:afterAutospacing="0" w:line="270" w:lineRule="exact"/>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【行政法规】《法律援助条例》（2003年国务院令385号）</w:t>
            </w:r>
          </w:p>
          <w:p>
            <w:pPr>
              <w:pStyle w:val="8"/>
              <w:spacing w:before="0" w:beforeAutospacing="0" w:after="0" w:afterAutospacing="0" w:line="270" w:lineRule="exact"/>
              <w:ind w:firstLine="420" w:firstLineChars="200"/>
              <w:rPr>
                <w:rFonts w:ascii="仿宋_GB2312" w:hAnsi="仿宋_GB2312" w:eastAsia="仿宋_GB2312" w:cs="仿宋_GB2312"/>
                <w:color w:val="auto"/>
                <w:sz w:val="21"/>
                <w:szCs w:val="21"/>
                <w:shd w:val="clear" w:color="auto" w:fill="FFFFFF"/>
              </w:rPr>
            </w:pPr>
            <w:r>
              <w:rPr>
                <w:rFonts w:hint="eastAsia" w:ascii="仿宋_GB2312" w:hAnsi="仿宋_GB2312" w:eastAsia="仿宋_GB2312" w:cs="仿宋_GB2312"/>
                <w:color w:val="auto"/>
                <w:sz w:val="21"/>
                <w:szCs w:val="21"/>
              </w:rPr>
              <w:t>第五条第一款</w:t>
            </w:r>
            <w:r>
              <w:rPr>
                <w:rFonts w:ascii="Calibri" w:hAnsi="Calibri" w:eastAsia="仿宋_GB2312" w:cs="Calibri"/>
                <w:color w:val="auto"/>
                <w:sz w:val="21"/>
                <w:szCs w:val="21"/>
              </w:rPr>
              <w:t xml:space="preserve"> </w:t>
            </w:r>
            <w:r>
              <w:rPr>
                <w:rFonts w:hint="eastAsia" w:ascii="仿宋_GB2312" w:hAnsi="仿宋_GB2312" w:eastAsia="仿宋_GB2312" w:cs="仿宋_GB2312"/>
                <w:color w:val="auto"/>
                <w:sz w:val="21"/>
                <w:szCs w:val="21"/>
              </w:rPr>
              <w:t>直辖市、设区的市或者县级人民政府司法行政部门根据需要确定本行政区域的法律援助机构。</w:t>
            </w:r>
          </w:p>
        </w:tc>
        <w:tc>
          <w:tcPr>
            <w:tcW w:w="953"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自治区</w:t>
            </w:r>
          </w:p>
        </w:tc>
        <w:tc>
          <w:tcPr>
            <w:tcW w:w="2690"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审核、确认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4" w:hRule="atLeast"/>
          <w:jc w:val="center"/>
        </w:trPr>
        <w:tc>
          <w:tcPr>
            <w:tcW w:w="714" w:type="dxa"/>
            <w:vMerge w:val="continue"/>
            <w:vAlign w:val="center"/>
          </w:tcPr>
          <w:p>
            <w:pPr>
              <w:jc w:val="left"/>
              <w:rPr>
                <w:rFonts w:ascii="仿宋_GB2312" w:hAnsi="仿宋_GB2312" w:eastAsia="仿宋_GB2312" w:cs="仿宋_GB2312"/>
                <w:color w:val="auto"/>
                <w:szCs w:val="21"/>
              </w:rPr>
            </w:pPr>
          </w:p>
        </w:tc>
        <w:tc>
          <w:tcPr>
            <w:tcW w:w="1148" w:type="dxa"/>
            <w:vMerge w:val="continue"/>
            <w:vAlign w:val="center"/>
          </w:tcPr>
          <w:p>
            <w:pPr>
              <w:jc w:val="both"/>
              <w:rPr>
                <w:rFonts w:ascii="仿宋_GB2312" w:hAnsi="仿宋_GB2312" w:eastAsia="仿宋_GB2312" w:cs="仿宋_GB2312"/>
                <w:color w:val="auto"/>
                <w:szCs w:val="21"/>
              </w:rPr>
            </w:pPr>
          </w:p>
        </w:tc>
        <w:tc>
          <w:tcPr>
            <w:tcW w:w="775" w:type="dxa"/>
            <w:vMerge w:val="continue"/>
            <w:vAlign w:val="center"/>
          </w:tcPr>
          <w:p>
            <w:pPr>
              <w:jc w:val="center"/>
              <w:rPr>
                <w:rFonts w:ascii="仿宋_GB2312" w:hAnsi="仿宋_GB2312" w:eastAsia="仿宋_GB2312" w:cs="仿宋_GB2312"/>
                <w:color w:val="auto"/>
                <w:szCs w:val="21"/>
              </w:rPr>
            </w:pPr>
          </w:p>
        </w:tc>
        <w:tc>
          <w:tcPr>
            <w:tcW w:w="823" w:type="dxa"/>
            <w:vMerge w:val="continue"/>
            <w:vAlign w:val="center"/>
          </w:tcPr>
          <w:p>
            <w:pPr>
              <w:jc w:val="center"/>
              <w:rPr>
                <w:rFonts w:ascii="仿宋_GB2312" w:hAnsi="仿宋_GB2312" w:eastAsia="仿宋_GB2312" w:cs="仿宋_GB2312"/>
                <w:color w:val="auto"/>
                <w:szCs w:val="21"/>
              </w:rPr>
            </w:pPr>
          </w:p>
        </w:tc>
        <w:tc>
          <w:tcPr>
            <w:tcW w:w="7412" w:type="dxa"/>
            <w:vMerge w:val="continue"/>
            <w:vAlign w:val="center"/>
          </w:tcPr>
          <w:p>
            <w:pPr>
              <w:spacing w:line="270" w:lineRule="exact"/>
              <w:jc w:val="left"/>
              <w:rPr>
                <w:rFonts w:ascii="仿宋_GB2312" w:hAnsi="仿宋_GB2312" w:eastAsia="仿宋_GB2312" w:cs="仿宋_GB2312"/>
                <w:color w:val="auto"/>
                <w:szCs w:val="21"/>
              </w:rPr>
            </w:pPr>
          </w:p>
        </w:tc>
        <w:tc>
          <w:tcPr>
            <w:tcW w:w="953" w:type="dxa"/>
            <w:vAlign w:val="center"/>
          </w:tcPr>
          <w:p>
            <w:pPr>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设区</w:t>
            </w:r>
          </w:p>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的市</w:t>
            </w:r>
          </w:p>
        </w:tc>
        <w:tc>
          <w:tcPr>
            <w:tcW w:w="2690"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受理、审核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7" w:hRule="atLeast"/>
          <w:jc w:val="center"/>
        </w:trPr>
        <w:tc>
          <w:tcPr>
            <w:tcW w:w="714" w:type="dxa"/>
            <w:vMerge w:val="continue"/>
            <w:vAlign w:val="center"/>
          </w:tcPr>
          <w:p>
            <w:pPr>
              <w:jc w:val="left"/>
              <w:rPr>
                <w:rFonts w:ascii="仿宋_GB2312" w:hAnsi="仿宋_GB2312" w:eastAsia="仿宋_GB2312" w:cs="仿宋_GB2312"/>
                <w:color w:val="auto"/>
                <w:szCs w:val="21"/>
              </w:rPr>
            </w:pPr>
          </w:p>
        </w:tc>
        <w:tc>
          <w:tcPr>
            <w:tcW w:w="1148" w:type="dxa"/>
            <w:vMerge w:val="continue"/>
            <w:vAlign w:val="center"/>
          </w:tcPr>
          <w:p>
            <w:pPr>
              <w:jc w:val="both"/>
              <w:rPr>
                <w:rFonts w:ascii="仿宋_GB2312" w:hAnsi="仿宋_GB2312" w:eastAsia="仿宋_GB2312" w:cs="仿宋_GB2312"/>
                <w:color w:val="auto"/>
                <w:szCs w:val="21"/>
              </w:rPr>
            </w:pPr>
          </w:p>
        </w:tc>
        <w:tc>
          <w:tcPr>
            <w:tcW w:w="775" w:type="dxa"/>
            <w:vMerge w:val="continue"/>
            <w:vAlign w:val="center"/>
          </w:tcPr>
          <w:p>
            <w:pPr>
              <w:jc w:val="center"/>
              <w:rPr>
                <w:rFonts w:ascii="仿宋_GB2312" w:hAnsi="仿宋_GB2312" w:eastAsia="仿宋_GB2312" w:cs="仿宋_GB2312"/>
                <w:color w:val="auto"/>
                <w:szCs w:val="21"/>
              </w:rPr>
            </w:pPr>
          </w:p>
        </w:tc>
        <w:tc>
          <w:tcPr>
            <w:tcW w:w="823" w:type="dxa"/>
            <w:vMerge w:val="continue"/>
            <w:vAlign w:val="center"/>
          </w:tcPr>
          <w:p>
            <w:pPr>
              <w:jc w:val="center"/>
              <w:rPr>
                <w:rFonts w:ascii="仿宋_GB2312" w:hAnsi="仿宋_GB2312" w:eastAsia="仿宋_GB2312" w:cs="仿宋_GB2312"/>
                <w:color w:val="auto"/>
                <w:szCs w:val="21"/>
              </w:rPr>
            </w:pPr>
          </w:p>
        </w:tc>
        <w:tc>
          <w:tcPr>
            <w:tcW w:w="7412" w:type="dxa"/>
            <w:vMerge w:val="continue"/>
            <w:vAlign w:val="center"/>
          </w:tcPr>
          <w:p>
            <w:pPr>
              <w:spacing w:line="270" w:lineRule="exact"/>
              <w:jc w:val="left"/>
              <w:rPr>
                <w:rFonts w:ascii="仿宋_GB2312" w:hAnsi="仿宋_GB2312" w:eastAsia="仿宋_GB2312" w:cs="仿宋_GB2312"/>
                <w:color w:val="auto"/>
                <w:szCs w:val="21"/>
              </w:rPr>
            </w:pPr>
          </w:p>
        </w:tc>
        <w:tc>
          <w:tcPr>
            <w:tcW w:w="953"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县级</w:t>
            </w:r>
          </w:p>
        </w:tc>
        <w:tc>
          <w:tcPr>
            <w:tcW w:w="2690"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受理、审核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1" w:hRule="atLeast"/>
          <w:jc w:val="center"/>
        </w:trPr>
        <w:tc>
          <w:tcPr>
            <w:tcW w:w="714" w:type="dxa"/>
            <w:vAlign w:val="center"/>
          </w:tcPr>
          <w:p>
            <w:pPr>
              <w:pStyle w:val="8"/>
              <w:spacing w:before="0" w:beforeAutospacing="0" w:after="0" w:afterAutospacing="0" w:line="27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 w:val="21"/>
                <w:szCs w:val="21"/>
                <w:lang w:val="en-US" w:eastAsia="zh-CN"/>
              </w:rPr>
              <w:t>5</w:t>
            </w:r>
          </w:p>
        </w:tc>
        <w:tc>
          <w:tcPr>
            <w:tcW w:w="1148" w:type="dxa"/>
            <w:vAlign w:val="center"/>
          </w:tcPr>
          <w:p>
            <w:pPr>
              <w:pStyle w:val="8"/>
              <w:spacing w:before="0" w:beforeAutospacing="0" w:after="0" w:afterAutospacing="0" w:line="270" w:lineRule="exact"/>
              <w:jc w:val="both"/>
              <w:rPr>
                <w:rFonts w:ascii="仿宋_GB2312" w:hAnsi="仿宋_GB2312" w:eastAsia="仿宋_GB2312" w:cs="仿宋_GB2312"/>
                <w:color w:val="auto"/>
                <w:szCs w:val="21"/>
              </w:rPr>
            </w:pPr>
            <w:r>
              <w:rPr>
                <w:rFonts w:hint="eastAsia" w:ascii="仿宋_GB2312" w:hAnsi="仿宋_GB2312" w:eastAsia="仿宋_GB2312" w:cs="仿宋_GB2312"/>
                <w:color w:val="auto"/>
                <w:sz w:val="21"/>
                <w:szCs w:val="21"/>
              </w:rPr>
              <w:t>律师执业年度考核结果备案</w:t>
            </w:r>
          </w:p>
        </w:tc>
        <w:tc>
          <w:tcPr>
            <w:tcW w:w="775" w:type="dxa"/>
            <w:vAlign w:val="center"/>
          </w:tcPr>
          <w:p>
            <w:pPr>
              <w:pStyle w:val="8"/>
              <w:spacing w:before="0" w:beforeAutospacing="0" w:after="0" w:afterAutospacing="0" w:line="270" w:lineRule="exact"/>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1009005000</w:t>
            </w:r>
          </w:p>
        </w:tc>
        <w:tc>
          <w:tcPr>
            <w:tcW w:w="823" w:type="dxa"/>
            <w:vAlign w:val="center"/>
          </w:tcPr>
          <w:p>
            <w:pPr>
              <w:pStyle w:val="8"/>
              <w:spacing w:before="0" w:beforeAutospacing="0" w:after="0" w:afterAutospacing="0" w:line="27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 w:val="21"/>
                <w:szCs w:val="21"/>
                <w:lang w:eastAsia="zh-CN"/>
              </w:rPr>
              <w:t>司法行政机关</w:t>
            </w:r>
          </w:p>
        </w:tc>
        <w:tc>
          <w:tcPr>
            <w:tcW w:w="7412" w:type="dxa"/>
            <w:vAlign w:val="center"/>
          </w:tcPr>
          <w:p>
            <w:pPr>
              <w:ind w:firstLine="420" w:firstLineChars="200"/>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【部门规章】《律师执业管理办法》（2016年司法部令第134号修订）</w:t>
            </w:r>
          </w:p>
          <w:p>
            <w:pPr>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lang w:val="en-US" w:eastAsia="zh-CN"/>
              </w:rPr>
              <w:t>第五十一条第一款 设区的市级司法行政机关履行下列监督管理职责：（五）对律师事务所的律师执业年度考核结果实行备案监督。</w:t>
            </w:r>
          </w:p>
        </w:tc>
        <w:tc>
          <w:tcPr>
            <w:tcW w:w="953" w:type="dxa"/>
            <w:vAlign w:val="center"/>
          </w:tcPr>
          <w:p>
            <w:pPr>
              <w:pStyle w:val="8"/>
              <w:spacing w:before="0" w:beforeAutospacing="0" w:after="0" w:afterAutospacing="0" w:line="270" w:lineRule="exact"/>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设区</w:t>
            </w:r>
          </w:p>
          <w:p>
            <w:pPr>
              <w:pStyle w:val="8"/>
              <w:spacing w:before="0" w:beforeAutospacing="0" w:after="0" w:afterAutospacing="0" w:line="27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 w:val="21"/>
                <w:szCs w:val="21"/>
                <w:lang w:eastAsia="zh-CN"/>
              </w:rPr>
              <w:t>的市</w:t>
            </w:r>
          </w:p>
        </w:tc>
        <w:tc>
          <w:tcPr>
            <w:tcW w:w="2690" w:type="dxa"/>
            <w:vAlign w:val="center"/>
          </w:tcPr>
          <w:p>
            <w:pPr>
              <w:pStyle w:val="8"/>
              <w:spacing w:before="0" w:beforeAutospacing="0" w:after="0" w:afterAutospacing="0" w:line="27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 w:val="21"/>
                <w:szCs w:val="21"/>
              </w:rPr>
              <w:t>受理</w:t>
            </w:r>
            <w:r>
              <w:rPr>
                <w:rFonts w:hint="eastAsia" w:ascii="仿宋_GB2312" w:hAnsi="仿宋_GB2312" w:eastAsia="仿宋_GB2312" w:cs="仿宋_GB2312"/>
                <w:color w:val="auto"/>
                <w:sz w:val="21"/>
                <w:szCs w:val="21"/>
                <w:lang w:eastAsia="zh-CN"/>
              </w:rPr>
              <w:t>、审核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0" w:hRule="atLeast"/>
          <w:jc w:val="center"/>
        </w:trPr>
        <w:tc>
          <w:tcPr>
            <w:tcW w:w="714" w:type="dxa"/>
            <w:vAlign w:val="center"/>
          </w:tcPr>
          <w:p>
            <w:pPr>
              <w:pStyle w:val="8"/>
              <w:spacing w:before="0" w:beforeAutospacing="0" w:after="0" w:afterAutospacing="0" w:line="27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 w:val="21"/>
                <w:szCs w:val="21"/>
                <w:lang w:val="en-US" w:eastAsia="zh-CN"/>
              </w:rPr>
              <w:t>6</w:t>
            </w:r>
          </w:p>
        </w:tc>
        <w:tc>
          <w:tcPr>
            <w:tcW w:w="1148" w:type="dxa"/>
            <w:vAlign w:val="center"/>
          </w:tcPr>
          <w:p>
            <w:pPr>
              <w:pStyle w:val="8"/>
              <w:spacing w:before="0" w:beforeAutospacing="0" w:after="0" w:afterAutospacing="0" w:line="270" w:lineRule="exact"/>
              <w:jc w:val="both"/>
              <w:rPr>
                <w:rFonts w:ascii="仿宋_GB2312" w:hAnsi="仿宋_GB2312" w:eastAsia="仿宋_GB2312" w:cs="仿宋_GB2312"/>
                <w:color w:val="auto"/>
                <w:szCs w:val="21"/>
              </w:rPr>
            </w:pPr>
            <w:r>
              <w:rPr>
                <w:rFonts w:hint="eastAsia" w:ascii="仿宋_GB2312" w:hAnsi="仿宋_GB2312" w:eastAsia="仿宋_GB2312" w:cs="仿宋_GB2312"/>
                <w:color w:val="auto"/>
                <w:sz w:val="21"/>
                <w:szCs w:val="21"/>
              </w:rPr>
              <w:t>取得内地法律职业资格的香港、澳门居民在内地律师事务所实习鉴定意见和考核结果的备案</w:t>
            </w:r>
          </w:p>
        </w:tc>
        <w:tc>
          <w:tcPr>
            <w:tcW w:w="775" w:type="dxa"/>
            <w:vAlign w:val="center"/>
          </w:tcPr>
          <w:p>
            <w:pPr>
              <w:pStyle w:val="8"/>
              <w:spacing w:before="0" w:beforeAutospacing="0" w:after="0" w:afterAutospacing="0" w:line="270" w:lineRule="exact"/>
              <w:jc w:val="both"/>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1009006000</w:t>
            </w:r>
          </w:p>
        </w:tc>
        <w:tc>
          <w:tcPr>
            <w:tcW w:w="823" w:type="dxa"/>
            <w:vAlign w:val="center"/>
          </w:tcPr>
          <w:p>
            <w:pPr>
              <w:pStyle w:val="8"/>
              <w:spacing w:before="0" w:beforeAutospacing="0" w:after="0" w:afterAutospacing="0" w:line="27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 w:val="21"/>
                <w:szCs w:val="21"/>
                <w:lang w:eastAsia="zh-CN"/>
              </w:rPr>
              <w:t>司法行政机关</w:t>
            </w:r>
          </w:p>
        </w:tc>
        <w:tc>
          <w:tcPr>
            <w:tcW w:w="7412" w:type="dxa"/>
            <w:vAlign w:val="center"/>
          </w:tcPr>
          <w:p>
            <w:pPr>
              <w:ind w:firstLine="420" w:firstLineChars="200"/>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 xml:space="preserve">【部门规章】《取得内地法律职业资格的香港特别行政区和澳门特别行政区居民在内地从事律师职业的管理办法》（2013年第128号修正）                            </w:t>
            </w:r>
          </w:p>
          <w:p>
            <w:pPr>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lang w:val="en-US" w:eastAsia="zh-CN"/>
              </w:rPr>
              <w:t>第十条第二款 香港、澳门居民实习期满，由内地律师事务所出具实习鉴定意见，报所在地的地（市）级律师协会审查，并由其对实习人员进行考核。律师事务所的实习鉴定意见和律师协会的考核结果，由地（市）级律师协会报当地地（市）级司法行政机关备案。</w:t>
            </w:r>
          </w:p>
        </w:tc>
        <w:tc>
          <w:tcPr>
            <w:tcW w:w="953" w:type="dxa"/>
            <w:vAlign w:val="center"/>
          </w:tcPr>
          <w:p>
            <w:pPr>
              <w:pStyle w:val="8"/>
              <w:spacing w:before="0" w:beforeAutospacing="0" w:after="0" w:afterAutospacing="0" w:line="270" w:lineRule="exact"/>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设区</w:t>
            </w:r>
          </w:p>
          <w:p>
            <w:pPr>
              <w:pStyle w:val="8"/>
              <w:spacing w:before="0" w:beforeAutospacing="0" w:after="0" w:afterAutospacing="0" w:line="27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 w:val="21"/>
                <w:szCs w:val="21"/>
                <w:lang w:eastAsia="zh-CN"/>
              </w:rPr>
              <w:t>的市</w:t>
            </w:r>
          </w:p>
        </w:tc>
        <w:tc>
          <w:tcPr>
            <w:tcW w:w="2690" w:type="dxa"/>
            <w:vAlign w:val="center"/>
          </w:tcPr>
          <w:p>
            <w:pPr>
              <w:pStyle w:val="8"/>
              <w:spacing w:before="0" w:beforeAutospacing="0" w:after="0" w:afterAutospacing="0" w:line="27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 w:val="21"/>
                <w:szCs w:val="21"/>
              </w:rPr>
              <w:t>受理</w:t>
            </w:r>
            <w:r>
              <w:rPr>
                <w:rFonts w:hint="eastAsia" w:ascii="仿宋_GB2312" w:hAnsi="仿宋_GB2312" w:eastAsia="仿宋_GB2312" w:cs="仿宋_GB2312"/>
                <w:color w:val="auto"/>
                <w:sz w:val="21"/>
                <w:szCs w:val="21"/>
                <w:lang w:eastAsia="zh-CN"/>
              </w:rPr>
              <w:t>、审核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4" w:hRule="atLeast"/>
          <w:jc w:val="center"/>
        </w:trPr>
        <w:tc>
          <w:tcPr>
            <w:tcW w:w="714" w:type="dxa"/>
            <w:vAlign w:val="center"/>
          </w:tcPr>
          <w:p>
            <w:pPr>
              <w:pStyle w:val="8"/>
              <w:spacing w:before="0" w:beforeAutospacing="0" w:after="0" w:afterAutospacing="0" w:line="27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 w:val="21"/>
                <w:szCs w:val="21"/>
                <w:lang w:val="en-US" w:eastAsia="zh-CN"/>
              </w:rPr>
              <w:t>7</w:t>
            </w:r>
          </w:p>
        </w:tc>
        <w:tc>
          <w:tcPr>
            <w:tcW w:w="1148" w:type="dxa"/>
            <w:vAlign w:val="center"/>
          </w:tcPr>
          <w:p>
            <w:pPr>
              <w:pStyle w:val="8"/>
              <w:spacing w:before="0" w:beforeAutospacing="0" w:after="0" w:afterAutospacing="0" w:line="270" w:lineRule="exact"/>
              <w:jc w:val="both"/>
              <w:rPr>
                <w:rFonts w:ascii="仿宋_GB2312" w:hAnsi="仿宋_GB2312" w:eastAsia="仿宋_GB2312" w:cs="仿宋_GB2312"/>
                <w:color w:val="auto"/>
                <w:szCs w:val="21"/>
              </w:rPr>
            </w:pPr>
            <w:r>
              <w:rPr>
                <w:rFonts w:hint="eastAsia" w:ascii="仿宋_GB2312" w:hAnsi="仿宋_GB2312" w:eastAsia="仿宋_GB2312" w:cs="仿宋_GB2312"/>
                <w:color w:val="auto"/>
                <w:sz w:val="21"/>
                <w:szCs w:val="21"/>
              </w:rPr>
              <w:t>对被投诉的司法鉴定机构或鉴定人的调查处理</w:t>
            </w:r>
          </w:p>
        </w:tc>
        <w:tc>
          <w:tcPr>
            <w:tcW w:w="775" w:type="dxa"/>
            <w:vAlign w:val="center"/>
          </w:tcPr>
          <w:p>
            <w:pPr>
              <w:pStyle w:val="8"/>
              <w:spacing w:before="0" w:beforeAutospacing="0" w:after="0" w:afterAutospacing="0" w:line="270" w:lineRule="exact"/>
              <w:jc w:val="both"/>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1009007000</w:t>
            </w:r>
          </w:p>
        </w:tc>
        <w:tc>
          <w:tcPr>
            <w:tcW w:w="823" w:type="dxa"/>
            <w:vAlign w:val="center"/>
          </w:tcPr>
          <w:p>
            <w:pPr>
              <w:pStyle w:val="8"/>
              <w:spacing w:before="0" w:beforeAutospacing="0" w:after="0" w:afterAutospacing="0" w:line="27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 w:val="21"/>
                <w:szCs w:val="21"/>
                <w:lang w:eastAsia="zh-CN"/>
              </w:rPr>
              <w:t>司法行政机关</w:t>
            </w:r>
          </w:p>
        </w:tc>
        <w:tc>
          <w:tcPr>
            <w:tcW w:w="7412" w:type="dxa"/>
            <w:vAlign w:val="center"/>
          </w:tcPr>
          <w:p>
            <w:pPr>
              <w:pStyle w:val="8"/>
              <w:spacing w:before="0" w:beforeAutospacing="0" w:after="0" w:afterAutospacing="0" w:line="27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【部门规章】《司法鉴定执业活动投诉处理办法》(201</w:t>
            </w:r>
            <w:r>
              <w:rPr>
                <w:rFonts w:hint="eastAsia" w:ascii="仿宋_GB2312" w:hAnsi="仿宋_GB2312" w:eastAsia="仿宋_GB2312" w:cs="仿宋_GB2312"/>
                <w:color w:val="auto"/>
                <w:sz w:val="21"/>
                <w:szCs w:val="21"/>
                <w:lang w:val="en-US" w:eastAsia="zh-CN"/>
              </w:rPr>
              <w:t>9</w:t>
            </w:r>
            <w:r>
              <w:rPr>
                <w:rFonts w:hint="eastAsia" w:ascii="仿宋_GB2312" w:hAnsi="仿宋_GB2312" w:eastAsia="仿宋_GB2312" w:cs="仿宋_GB2312"/>
                <w:color w:val="auto"/>
                <w:sz w:val="21"/>
                <w:szCs w:val="21"/>
              </w:rPr>
              <w:t>年司法部令第</w:t>
            </w:r>
            <w:r>
              <w:rPr>
                <w:rFonts w:hint="eastAsia" w:ascii="仿宋_GB2312" w:hAnsi="仿宋_GB2312" w:eastAsia="仿宋_GB2312" w:cs="仿宋_GB2312"/>
                <w:color w:val="auto"/>
                <w:sz w:val="21"/>
                <w:szCs w:val="21"/>
                <w:lang w:val="en-US" w:eastAsia="zh-CN"/>
              </w:rPr>
              <w:t>144</w:t>
            </w:r>
            <w:r>
              <w:rPr>
                <w:rFonts w:hint="eastAsia" w:ascii="仿宋_GB2312" w:hAnsi="仿宋_GB2312" w:eastAsia="仿宋_GB2312" w:cs="仿宋_GB2312"/>
                <w:color w:val="auto"/>
                <w:sz w:val="21"/>
                <w:szCs w:val="21"/>
              </w:rPr>
              <w:t>号)</w:t>
            </w:r>
          </w:p>
          <w:p>
            <w:pPr>
              <w:ind w:firstLine="420" w:firstLineChars="200"/>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第十条公民、法人和非法人组织认为司法鉴定机构或者司法鉴定人在执业活动中有下列违法违规情形的，可以向司法鉴定机构住所地或者司法鉴定人执业机构住所地的县级以上司法行政机关投诉:(一)司法鉴定机构组织未取得《司法鉴定人执业证》的人员违规从事司法鉴定业务的；(二)超出登记的业务范围或者执业类别从事司法鉴定活动的；(三)司法鉴定机构无正当理由拒绝接受司法鉴定委托的；(四)司法鉴定人私自接受司法鉴定委托的；(五)违反司法鉴定收费管理规定的；(六)违反司法鉴定程序规则从事司法鉴定活动的；(七)支付回扣、介绍费以及进行虚假宣传等不正当行为的；(八)因不负责任给当事人合法权益造成损失的；(九)司法鉴定人经人民法院通知，无正当理由拒绝出庭作证的；(十)司法鉴定人故意做虚假鉴定的；(十一)其他违反司法鉴定管理规定的行为。</w:t>
            </w:r>
          </w:p>
          <w:p>
            <w:pPr>
              <w:ind w:firstLine="420"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第十九条</w:t>
            </w:r>
            <w:r>
              <w:rPr>
                <w:rFonts w:hint="eastAsia" w:ascii="仿宋_GB2312" w:hAnsi="仿宋_GB2312" w:eastAsia="仿宋_GB2312" w:cs="仿宋_GB2312"/>
                <w:color w:val="auto"/>
                <w:lang w:eastAsia="zh-CN"/>
              </w:rPr>
              <w:t>第一款</w:t>
            </w:r>
            <w:r>
              <w:rPr>
                <w:rFonts w:hint="eastAsia" w:ascii="仿宋_GB2312" w:hAnsi="仿宋_GB2312" w:eastAsia="仿宋_GB2312" w:cs="仿宋_GB2312"/>
                <w:color w:val="auto"/>
                <w:lang w:val="en-US" w:eastAsia="zh-CN"/>
              </w:rPr>
              <w:t xml:space="preserve"> </w:t>
            </w:r>
            <w:r>
              <w:rPr>
                <w:rFonts w:hint="eastAsia" w:ascii="仿宋_GB2312" w:hAnsi="仿宋_GB2312" w:eastAsia="仿宋_GB2312" w:cs="仿宋_GB2312"/>
                <w:color w:val="auto"/>
              </w:rPr>
              <w:t>司法行政机关进行调查，应当要求被投诉人说明情况、提交有关材料，调阅被投诉人有关业务案卷和档案材料，向有关单位、个人核实情况、收集证据;并根据情况，可以组织专家咨询、论证或者听取有关部门的意见和建议。</w:t>
            </w:r>
          </w:p>
          <w:p>
            <w:pPr>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lang w:val="en-US" w:eastAsia="zh-CN"/>
              </w:rPr>
              <w:t>第二十三条</w:t>
            </w:r>
            <w:r>
              <w:rPr>
                <w:rFonts w:hint="default" w:ascii="仿宋_GB2312" w:hAnsi="仿宋_GB2312" w:eastAsia="仿宋_GB2312" w:cs="仿宋_GB2312"/>
                <w:color w:val="auto"/>
                <w:lang w:val="en-US" w:eastAsia="zh-CN"/>
              </w:rPr>
              <w:t>司法行政机关在调查过程中，发现被投诉人的违法违规行为仍处在连续或者继续状态的，应当责令被投诉人立即停止违法违规行为。</w:t>
            </w:r>
          </w:p>
        </w:tc>
        <w:tc>
          <w:tcPr>
            <w:tcW w:w="953" w:type="dxa"/>
            <w:vAlign w:val="center"/>
          </w:tcPr>
          <w:p>
            <w:pPr>
              <w:pStyle w:val="8"/>
              <w:spacing w:before="0" w:beforeAutospacing="0" w:after="0" w:afterAutospacing="0" w:line="270" w:lineRule="exact"/>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设区</w:t>
            </w:r>
          </w:p>
          <w:p>
            <w:pPr>
              <w:pStyle w:val="8"/>
              <w:spacing w:before="0" w:beforeAutospacing="0" w:after="0" w:afterAutospacing="0" w:line="27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 w:val="21"/>
                <w:szCs w:val="21"/>
                <w:lang w:eastAsia="zh-CN"/>
              </w:rPr>
              <w:t>的市</w:t>
            </w:r>
          </w:p>
        </w:tc>
        <w:tc>
          <w:tcPr>
            <w:tcW w:w="2690" w:type="dxa"/>
            <w:vAlign w:val="center"/>
          </w:tcPr>
          <w:p>
            <w:pPr>
              <w:pStyle w:val="8"/>
              <w:spacing w:before="0" w:beforeAutospacing="0" w:after="0" w:afterAutospacing="0" w:line="27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 w:val="21"/>
                <w:szCs w:val="21"/>
              </w:rPr>
              <w:t>受理、处理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7" w:hRule="atLeast"/>
          <w:jc w:val="center"/>
        </w:trPr>
        <w:tc>
          <w:tcPr>
            <w:tcW w:w="714" w:type="dxa"/>
            <w:vAlign w:val="center"/>
          </w:tcPr>
          <w:p>
            <w:pPr>
              <w:pStyle w:val="8"/>
              <w:spacing w:before="0" w:beforeAutospacing="0" w:after="0" w:afterAutospacing="0" w:line="27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 w:val="21"/>
                <w:szCs w:val="21"/>
                <w:lang w:val="en-US" w:eastAsia="zh-CN"/>
              </w:rPr>
              <w:t>8</w:t>
            </w:r>
          </w:p>
        </w:tc>
        <w:tc>
          <w:tcPr>
            <w:tcW w:w="1148" w:type="dxa"/>
            <w:vAlign w:val="center"/>
          </w:tcPr>
          <w:p>
            <w:pPr>
              <w:pStyle w:val="8"/>
              <w:spacing w:before="0" w:beforeAutospacing="0" w:after="0" w:afterAutospacing="0" w:line="270" w:lineRule="exact"/>
              <w:jc w:val="both"/>
              <w:rPr>
                <w:rFonts w:ascii="仿宋_GB2312" w:hAnsi="仿宋_GB2312" w:eastAsia="仿宋_GB2312" w:cs="仿宋_GB2312"/>
                <w:color w:val="auto"/>
                <w:szCs w:val="21"/>
              </w:rPr>
            </w:pPr>
            <w:r>
              <w:rPr>
                <w:rFonts w:hint="eastAsia" w:ascii="仿宋_GB2312" w:hAnsi="仿宋_GB2312" w:eastAsia="仿宋_GB2312" w:cs="仿宋_GB2312"/>
                <w:color w:val="auto"/>
                <w:sz w:val="21"/>
                <w:szCs w:val="21"/>
              </w:rPr>
              <w:t>对基层法律服务所的年度</w:t>
            </w:r>
            <w:r>
              <w:rPr>
                <w:rFonts w:hint="eastAsia" w:ascii="仿宋_GB2312" w:hAnsi="仿宋_GB2312" w:eastAsia="仿宋_GB2312" w:cs="仿宋_GB2312"/>
                <w:color w:val="auto"/>
                <w:sz w:val="21"/>
                <w:szCs w:val="21"/>
                <w:lang w:eastAsia="zh-CN"/>
              </w:rPr>
              <w:t>考核</w:t>
            </w:r>
          </w:p>
        </w:tc>
        <w:tc>
          <w:tcPr>
            <w:tcW w:w="775" w:type="dxa"/>
            <w:vAlign w:val="center"/>
          </w:tcPr>
          <w:p>
            <w:pPr>
              <w:pStyle w:val="8"/>
              <w:spacing w:before="0" w:beforeAutospacing="0" w:after="0" w:afterAutospacing="0" w:line="270" w:lineRule="exact"/>
              <w:jc w:val="both"/>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1009008000</w:t>
            </w:r>
          </w:p>
        </w:tc>
        <w:tc>
          <w:tcPr>
            <w:tcW w:w="823" w:type="dxa"/>
            <w:vAlign w:val="center"/>
          </w:tcPr>
          <w:p>
            <w:pPr>
              <w:pStyle w:val="8"/>
              <w:spacing w:before="0" w:beforeAutospacing="0" w:after="0" w:afterAutospacing="0" w:line="27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 w:val="21"/>
                <w:szCs w:val="21"/>
                <w:lang w:eastAsia="zh-CN"/>
              </w:rPr>
              <w:t>司法行政机关</w:t>
            </w:r>
          </w:p>
        </w:tc>
        <w:tc>
          <w:tcPr>
            <w:tcW w:w="7412" w:type="dxa"/>
            <w:vAlign w:val="center"/>
          </w:tcPr>
          <w:p>
            <w:pPr>
              <w:ind w:firstLine="420"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【部门规章】</w:t>
            </w:r>
            <w:r>
              <w:rPr>
                <w:rFonts w:hint="eastAsia" w:ascii="仿宋_GB2312" w:hAnsi="仿宋_GB2312" w:eastAsia="仿宋_GB2312" w:cs="仿宋_GB2312"/>
                <w:color w:val="auto"/>
                <w:lang w:eastAsia="zh-CN"/>
              </w:rPr>
              <w:t>《律师事务所管理办法》（</w:t>
            </w:r>
            <w:r>
              <w:rPr>
                <w:rFonts w:hint="eastAsia" w:ascii="仿宋_GB2312" w:hAnsi="仿宋_GB2312" w:eastAsia="仿宋_GB2312" w:cs="仿宋_GB2312"/>
                <w:color w:val="auto"/>
                <w:lang w:val="en-US" w:eastAsia="zh-CN"/>
              </w:rPr>
              <w:t>2012年</w:t>
            </w:r>
            <w:r>
              <w:rPr>
                <w:rFonts w:hint="eastAsia" w:ascii="仿宋_GB2312" w:hAnsi="仿宋_GB2312" w:eastAsia="仿宋_GB2312" w:cs="仿宋_GB2312"/>
                <w:color w:val="auto"/>
                <w:lang w:eastAsia="zh-CN"/>
              </w:rPr>
              <w:t>司法部令第1</w:t>
            </w:r>
            <w:r>
              <w:rPr>
                <w:rFonts w:hint="eastAsia" w:ascii="仿宋_GB2312" w:hAnsi="仿宋_GB2312" w:eastAsia="仿宋_GB2312" w:cs="仿宋_GB2312"/>
                <w:color w:val="auto"/>
                <w:lang w:val="en-US" w:eastAsia="zh-CN"/>
              </w:rPr>
              <w:t>25</w:t>
            </w:r>
            <w:r>
              <w:rPr>
                <w:rFonts w:hint="eastAsia" w:ascii="仿宋_GB2312" w:hAnsi="仿宋_GB2312" w:eastAsia="仿宋_GB2312" w:cs="仿宋_GB2312"/>
                <w:color w:val="auto"/>
                <w:lang w:eastAsia="zh-CN"/>
              </w:rPr>
              <w:t>号修订）</w:t>
            </w:r>
            <w:r>
              <w:rPr>
                <w:rFonts w:hint="eastAsia" w:ascii="仿宋_GB2312" w:hAnsi="仿宋_GB2312" w:eastAsia="仿宋_GB2312" w:cs="仿宋_GB2312"/>
                <w:color w:val="auto"/>
              </w:rPr>
              <w:t xml:space="preserve"> </w:t>
            </w:r>
          </w:p>
          <w:p>
            <w:pPr>
              <w:ind w:firstLine="420"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第五十九条 律师事务所应当于每年的一季度经所在地县级司法行政机关向设区的市级司法行政机关提交上一年度本所执业情况报告和律师执业考核结果，直辖市的律师事务所的执业情况报告和律师执业考核结果直接向所在地区(县)司法行政机关提交，接受司法行政机关的年度检查考核。具体年度检查考核办法，由司法部规定。</w:t>
            </w:r>
          </w:p>
          <w:p>
            <w:pPr>
              <w:pStyle w:val="8"/>
              <w:spacing w:before="0" w:beforeAutospacing="0" w:after="0" w:afterAutospacing="0" w:line="27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【部门规章】《基层法律服务所管理办法》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lang w:val="en-US" w:eastAsia="zh-CN"/>
              </w:rPr>
              <w:t>2017年</w:t>
            </w:r>
            <w:r>
              <w:rPr>
                <w:rFonts w:hint="eastAsia" w:ascii="仿宋_GB2312" w:hAnsi="仿宋_GB2312" w:eastAsia="仿宋_GB2312" w:cs="仿宋_GB2312"/>
                <w:color w:val="auto"/>
                <w:sz w:val="21"/>
                <w:szCs w:val="21"/>
                <w:lang w:eastAsia="zh-CN"/>
              </w:rPr>
              <w:t>司法部令第137号修订）</w:t>
            </w:r>
            <w:r>
              <w:rPr>
                <w:rFonts w:hint="eastAsia" w:ascii="仿宋_GB2312" w:hAnsi="仿宋_GB2312" w:eastAsia="仿宋_GB2312" w:cs="仿宋_GB2312"/>
                <w:color w:val="auto"/>
                <w:sz w:val="21"/>
                <w:szCs w:val="21"/>
              </w:rPr>
              <w:t xml:space="preserve"> </w:t>
            </w:r>
          </w:p>
          <w:p>
            <w:pPr>
              <w:pStyle w:val="8"/>
              <w:spacing w:before="0" w:beforeAutospacing="0" w:after="0" w:afterAutospacing="0" w:line="27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第二十九条 设区的市级或者直辖市的区（县）司法行政机关应当每年对基层法律服务所进行年度考核。</w:t>
            </w:r>
          </w:p>
          <w:p>
            <w:pPr>
              <w:pStyle w:val="8"/>
              <w:spacing w:before="0" w:beforeAutospacing="0" w:after="0" w:afterAutospacing="0" w:line="27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对基层法律服务所进行年度考核的具体办法，由省、自治区、直辖市司法行政机关依据本办法和有关规定制定。</w:t>
            </w:r>
          </w:p>
          <w:p>
            <w:pPr>
              <w:pStyle w:val="8"/>
              <w:spacing w:before="0" w:beforeAutospacing="0" w:after="0" w:afterAutospacing="0"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 w:val="21"/>
                <w:szCs w:val="21"/>
              </w:rPr>
              <w:t xml:space="preserve">第三十一条  基层法律服务所的年度考核材料，经所在地县级司法行政机关审查后报送设区的市级司法行政机关审核，或者由直辖市的区（县）司法行政机关审核。 </w:t>
            </w:r>
          </w:p>
        </w:tc>
        <w:tc>
          <w:tcPr>
            <w:tcW w:w="953" w:type="dxa"/>
            <w:vAlign w:val="center"/>
          </w:tcPr>
          <w:p>
            <w:pPr>
              <w:pStyle w:val="8"/>
              <w:spacing w:before="0" w:beforeAutospacing="0" w:after="0" w:afterAutospacing="0" w:line="270" w:lineRule="exact"/>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设区</w:t>
            </w:r>
          </w:p>
          <w:p>
            <w:pPr>
              <w:pStyle w:val="8"/>
              <w:spacing w:before="0" w:beforeAutospacing="0" w:after="0" w:afterAutospacing="0" w:line="27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 w:val="21"/>
                <w:szCs w:val="21"/>
                <w:lang w:eastAsia="zh-CN"/>
              </w:rPr>
              <w:t>的市</w:t>
            </w:r>
          </w:p>
        </w:tc>
        <w:tc>
          <w:tcPr>
            <w:tcW w:w="2690" w:type="dxa"/>
            <w:vAlign w:val="center"/>
          </w:tcPr>
          <w:p>
            <w:pPr>
              <w:pStyle w:val="8"/>
              <w:spacing w:before="0" w:beforeAutospacing="0" w:after="0" w:afterAutospacing="0" w:line="27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 w:val="21"/>
                <w:szCs w:val="21"/>
              </w:rPr>
              <w:t>受理、审核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5" w:hRule="atLeast"/>
          <w:jc w:val="center"/>
        </w:trPr>
        <w:tc>
          <w:tcPr>
            <w:tcW w:w="714" w:type="dxa"/>
            <w:vAlign w:val="center"/>
          </w:tcPr>
          <w:p>
            <w:pPr>
              <w:pStyle w:val="8"/>
              <w:spacing w:before="0" w:beforeAutospacing="0" w:after="0" w:afterAutospacing="0" w:line="27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 w:val="21"/>
                <w:szCs w:val="21"/>
                <w:lang w:val="en-US" w:eastAsia="zh-CN"/>
              </w:rPr>
              <w:t>9</w:t>
            </w:r>
          </w:p>
        </w:tc>
        <w:tc>
          <w:tcPr>
            <w:tcW w:w="1148" w:type="dxa"/>
            <w:vAlign w:val="center"/>
          </w:tcPr>
          <w:p>
            <w:pPr>
              <w:pStyle w:val="8"/>
              <w:spacing w:before="0" w:beforeAutospacing="0" w:after="0" w:afterAutospacing="0" w:line="270" w:lineRule="exact"/>
              <w:jc w:val="both"/>
              <w:rPr>
                <w:rFonts w:ascii="仿宋_GB2312" w:hAnsi="仿宋_GB2312" w:eastAsia="仿宋_GB2312" w:cs="仿宋_GB2312"/>
                <w:color w:val="auto"/>
                <w:szCs w:val="21"/>
              </w:rPr>
            </w:pPr>
            <w:r>
              <w:rPr>
                <w:rFonts w:hint="eastAsia" w:ascii="仿宋_GB2312" w:hAnsi="仿宋_GB2312" w:eastAsia="仿宋_GB2312" w:cs="仿宋_GB2312"/>
                <w:color w:val="auto"/>
                <w:sz w:val="21"/>
                <w:szCs w:val="21"/>
              </w:rPr>
              <w:t>律师事务所的年度检查考核</w:t>
            </w:r>
          </w:p>
        </w:tc>
        <w:tc>
          <w:tcPr>
            <w:tcW w:w="775" w:type="dxa"/>
            <w:vAlign w:val="center"/>
          </w:tcPr>
          <w:p>
            <w:pPr>
              <w:pStyle w:val="8"/>
              <w:spacing w:before="0" w:beforeAutospacing="0" w:after="0" w:afterAutospacing="0" w:line="270" w:lineRule="exact"/>
              <w:jc w:val="both"/>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1009009000</w:t>
            </w:r>
          </w:p>
        </w:tc>
        <w:tc>
          <w:tcPr>
            <w:tcW w:w="823" w:type="dxa"/>
            <w:vAlign w:val="center"/>
          </w:tcPr>
          <w:p>
            <w:pPr>
              <w:pStyle w:val="8"/>
              <w:spacing w:before="0" w:beforeAutospacing="0" w:after="0" w:afterAutospacing="0" w:line="27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 w:val="21"/>
                <w:szCs w:val="21"/>
                <w:lang w:eastAsia="zh-CN"/>
              </w:rPr>
              <w:t>司法行政机关</w:t>
            </w:r>
          </w:p>
        </w:tc>
        <w:tc>
          <w:tcPr>
            <w:tcW w:w="7412" w:type="dxa"/>
            <w:vAlign w:val="center"/>
          </w:tcPr>
          <w:p>
            <w:pPr>
              <w:pStyle w:val="8"/>
              <w:spacing w:before="0" w:beforeAutospacing="0" w:after="0" w:afterAutospacing="0" w:line="27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   </w:t>
            </w:r>
            <w:r>
              <w:rPr>
                <w:rFonts w:hint="eastAsia" w:ascii="仿宋_GB2312" w:hAnsi="仿宋_GB2312" w:eastAsia="仿宋_GB2312" w:cs="仿宋_GB2312"/>
                <w:color w:val="auto"/>
                <w:sz w:val="21"/>
                <w:szCs w:val="21"/>
                <w:lang w:val="en-US" w:eastAsia="zh-CN"/>
              </w:rPr>
              <w:t xml:space="preserve"> </w:t>
            </w:r>
            <w:r>
              <w:rPr>
                <w:rFonts w:hint="eastAsia" w:ascii="仿宋_GB2312" w:hAnsi="仿宋_GB2312" w:eastAsia="仿宋_GB2312" w:cs="仿宋_GB2312"/>
                <w:color w:val="auto"/>
                <w:sz w:val="21"/>
                <w:szCs w:val="21"/>
              </w:rPr>
              <w:t>【部门规章】《律师事务所年度检查考核办法》（2010年司法部令第121号）</w:t>
            </w:r>
          </w:p>
          <w:p>
            <w:pPr>
              <w:pStyle w:val="8"/>
              <w:spacing w:before="0" w:beforeAutospacing="0" w:after="0" w:afterAutospacing="0" w:line="27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    第二条第一款</w:t>
            </w:r>
            <w:r>
              <w:rPr>
                <w:rFonts w:hint="eastAsia" w:ascii="仿宋_GB2312" w:hAnsi="仿宋_GB2312" w:eastAsia="仿宋_GB2312" w:cs="仿宋_GB2312"/>
                <w:color w:val="auto"/>
                <w:sz w:val="21"/>
                <w:szCs w:val="21"/>
                <w:lang w:val="en-US" w:eastAsia="zh-CN"/>
              </w:rPr>
              <w:t xml:space="preserve"> </w:t>
            </w:r>
            <w:r>
              <w:rPr>
                <w:rFonts w:hint="eastAsia" w:ascii="仿宋_GB2312" w:hAnsi="仿宋_GB2312" w:eastAsia="仿宋_GB2312" w:cs="仿宋_GB2312"/>
                <w:color w:val="auto"/>
                <w:sz w:val="21"/>
                <w:szCs w:val="21"/>
              </w:rPr>
              <w:t>律师事务所年度检查考核，是指司法行政机关定期对律师事务所上一年度的执业和管理情况进行检查考核，对其执业和管理状况作出评价</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 xml:space="preserve">                                               </w:t>
            </w:r>
          </w:p>
          <w:p>
            <w:pPr>
              <w:pStyle w:val="8"/>
              <w:spacing w:before="0" w:beforeAutospacing="0" w:after="0" w:afterAutospacing="0" w:line="27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    第四条第二款</w:t>
            </w:r>
            <w:r>
              <w:rPr>
                <w:rFonts w:hint="eastAsia" w:ascii="仿宋_GB2312" w:hAnsi="仿宋_GB2312" w:eastAsia="仿宋_GB2312" w:cs="仿宋_GB2312"/>
                <w:color w:val="auto"/>
                <w:sz w:val="21"/>
                <w:szCs w:val="21"/>
                <w:lang w:val="en-US" w:eastAsia="zh-CN"/>
              </w:rPr>
              <w:t xml:space="preserve"> </w:t>
            </w:r>
            <w:r>
              <w:rPr>
                <w:rFonts w:hint="eastAsia" w:ascii="仿宋_GB2312" w:hAnsi="仿宋_GB2312" w:eastAsia="仿宋_GB2312" w:cs="仿宋_GB2312"/>
                <w:color w:val="auto"/>
                <w:sz w:val="21"/>
                <w:szCs w:val="21"/>
              </w:rPr>
              <w:t xml:space="preserve">设区的市级或者直辖市区（县）司法行政机关负责组织实施对本行政区域内律师事务所的年度检查考核工作；             </w:t>
            </w:r>
          </w:p>
          <w:p>
            <w:pPr>
              <w:pStyle w:val="8"/>
              <w:spacing w:before="0" w:beforeAutospacing="0" w:after="0" w:afterAutospacing="0" w:line="27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    第十二条第一款</w:t>
            </w:r>
            <w:r>
              <w:rPr>
                <w:rFonts w:hint="eastAsia" w:ascii="仿宋_GB2312" w:hAnsi="仿宋_GB2312" w:eastAsia="仿宋_GB2312" w:cs="仿宋_GB2312"/>
                <w:color w:val="auto"/>
                <w:sz w:val="21"/>
                <w:szCs w:val="21"/>
                <w:lang w:val="en-US" w:eastAsia="zh-CN"/>
              </w:rPr>
              <w:t xml:space="preserve"> </w:t>
            </w:r>
            <w:r>
              <w:rPr>
                <w:rFonts w:hint="eastAsia" w:ascii="仿宋_GB2312" w:hAnsi="仿宋_GB2312" w:eastAsia="仿宋_GB2312" w:cs="仿宋_GB2312"/>
                <w:color w:val="auto"/>
                <w:sz w:val="21"/>
                <w:szCs w:val="21"/>
              </w:rPr>
              <w:t xml:space="preserve">律师事务所年度检查考核结果分为“合格”和“不合格”二个等次。             </w:t>
            </w:r>
          </w:p>
          <w:p>
            <w:pPr>
              <w:pStyle w:val="8"/>
              <w:spacing w:before="0" w:beforeAutospacing="0" w:after="0" w:afterAutospacing="0"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 w:val="21"/>
                <w:szCs w:val="21"/>
              </w:rPr>
              <w:t xml:space="preserve">    第二十一条第一款</w:t>
            </w:r>
            <w:r>
              <w:rPr>
                <w:rFonts w:hint="eastAsia" w:ascii="仿宋_GB2312" w:hAnsi="仿宋_GB2312" w:eastAsia="仿宋_GB2312" w:cs="仿宋_GB2312"/>
                <w:color w:val="auto"/>
                <w:sz w:val="21"/>
                <w:szCs w:val="21"/>
                <w:lang w:val="en-US" w:eastAsia="zh-CN"/>
              </w:rPr>
              <w:t xml:space="preserve"> </w:t>
            </w:r>
            <w:r>
              <w:rPr>
                <w:rFonts w:hint="eastAsia" w:ascii="仿宋_GB2312" w:hAnsi="仿宋_GB2312" w:eastAsia="仿宋_GB2312" w:cs="仿宋_GB2312"/>
                <w:color w:val="auto"/>
                <w:sz w:val="21"/>
                <w:szCs w:val="21"/>
              </w:rPr>
              <w:t>律师事务所的考核等次评定后，设区的市级或者直辖市区（县）司法行政机关应当将考核结果在本地律师工作管理网站上予以公示。</w:t>
            </w:r>
          </w:p>
        </w:tc>
        <w:tc>
          <w:tcPr>
            <w:tcW w:w="953" w:type="dxa"/>
            <w:vAlign w:val="center"/>
          </w:tcPr>
          <w:p>
            <w:pPr>
              <w:pStyle w:val="8"/>
              <w:spacing w:before="0" w:beforeAutospacing="0" w:after="0" w:afterAutospacing="0" w:line="270" w:lineRule="exact"/>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设区</w:t>
            </w:r>
          </w:p>
          <w:p>
            <w:pPr>
              <w:pStyle w:val="8"/>
              <w:spacing w:before="0" w:beforeAutospacing="0" w:after="0" w:afterAutospacing="0" w:line="27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 w:val="21"/>
                <w:szCs w:val="21"/>
                <w:lang w:eastAsia="zh-CN"/>
              </w:rPr>
              <w:t>的市</w:t>
            </w:r>
          </w:p>
        </w:tc>
        <w:tc>
          <w:tcPr>
            <w:tcW w:w="2690" w:type="dxa"/>
            <w:vAlign w:val="center"/>
          </w:tcPr>
          <w:p>
            <w:pPr>
              <w:pStyle w:val="8"/>
              <w:spacing w:before="0" w:beforeAutospacing="0" w:after="0" w:afterAutospacing="0" w:line="27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 w:val="21"/>
                <w:szCs w:val="21"/>
                <w:lang w:eastAsia="zh-CN"/>
              </w:rPr>
              <w:t>受理、审核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5" w:hRule="atLeast"/>
          <w:jc w:val="center"/>
        </w:trPr>
        <w:tc>
          <w:tcPr>
            <w:tcW w:w="714" w:type="dxa"/>
            <w:vAlign w:val="center"/>
          </w:tcPr>
          <w:p>
            <w:pPr>
              <w:pStyle w:val="8"/>
              <w:spacing w:before="0" w:beforeAutospacing="0" w:after="0" w:afterAutospacing="0" w:line="27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 w:val="21"/>
                <w:szCs w:val="21"/>
                <w:lang w:val="en-US" w:eastAsia="zh-CN"/>
              </w:rPr>
              <w:t>10</w:t>
            </w:r>
          </w:p>
        </w:tc>
        <w:tc>
          <w:tcPr>
            <w:tcW w:w="1148" w:type="dxa"/>
            <w:vAlign w:val="center"/>
          </w:tcPr>
          <w:p>
            <w:pPr>
              <w:pStyle w:val="8"/>
              <w:spacing w:before="0" w:beforeAutospacing="0" w:after="0" w:afterAutospacing="0" w:line="270" w:lineRule="exact"/>
              <w:jc w:val="both"/>
              <w:rPr>
                <w:rFonts w:ascii="仿宋_GB2312" w:hAnsi="仿宋_GB2312" w:eastAsia="仿宋_GB2312" w:cs="仿宋_GB2312"/>
                <w:color w:val="auto"/>
                <w:szCs w:val="21"/>
              </w:rPr>
            </w:pPr>
            <w:r>
              <w:rPr>
                <w:rFonts w:hint="eastAsia" w:ascii="仿宋_GB2312" w:hAnsi="仿宋_GB2312" w:eastAsia="仿宋_GB2312" w:cs="仿宋_GB2312"/>
                <w:color w:val="auto"/>
                <w:sz w:val="21"/>
                <w:szCs w:val="21"/>
              </w:rPr>
              <w:t>法律职业证书备案</w:t>
            </w:r>
          </w:p>
        </w:tc>
        <w:tc>
          <w:tcPr>
            <w:tcW w:w="775" w:type="dxa"/>
            <w:vAlign w:val="center"/>
          </w:tcPr>
          <w:p>
            <w:pPr>
              <w:pStyle w:val="8"/>
              <w:spacing w:before="0" w:beforeAutospacing="0" w:after="0" w:afterAutospacing="0" w:line="270" w:lineRule="exact"/>
              <w:jc w:val="both"/>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1009010000</w:t>
            </w:r>
          </w:p>
        </w:tc>
        <w:tc>
          <w:tcPr>
            <w:tcW w:w="823" w:type="dxa"/>
            <w:vAlign w:val="center"/>
          </w:tcPr>
          <w:p>
            <w:pPr>
              <w:pStyle w:val="8"/>
              <w:spacing w:before="0" w:beforeAutospacing="0" w:after="0" w:afterAutospacing="0" w:line="27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 w:val="21"/>
                <w:szCs w:val="21"/>
                <w:lang w:eastAsia="zh-CN"/>
              </w:rPr>
              <w:t>司法行政机关</w:t>
            </w:r>
          </w:p>
        </w:tc>
        <w:tc>
          <w:tcPr>
            <w:tcW w:w="7412" w:type="dxa"/>
            <w:vAlign w:val="center"/>
          </w:tcPr>
          <w:p>
            <w:pPr>
              <w:pStyle w:val="8"/>
              <w:spacing w:before="0" w:beforeAutospacing="0" w:after="0" w:afterAutospacing="0" w:line="27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【部门规章】《法律职业资格证书管理办法》（2002年司法</w:t>
            </w:r>
            <w:r>
              <w:rPr>
                <w:rFonts w:hint="eastAsia" w:ascii="仿宋_GB2312" w:hAnsi="仿宋_GB2312" w:eastAsia="仿宋_GB2312" w:cs="仿宋_GB2312"/>
                <w:color w:val="auto"/>
                <w:sz w:val="21"/>
                <w:szCs w:val="21"/>
                <w:lang w:eastAsia="zh-CN"/>
              </w:rPr>
              <w:t>部</w:t>
            </w:r>
            <w:r>
              <w:rPr>
                <w:rFonts w:hint="eastAsia" w:ascii="仿宋_GB2312" w:hAnsi="仿宋_GB2312" w:eastAsia="仿宋_GB2312" w:cs="仿宋_GB2312"/>
                <w:color w:val="auto"/>
                <w:sz w:val="21"/>
                <w:szCs w:val="21"/>
              </w:rPr>
              <w:t>令第74号）</w:t>
            </w:r>
          </w:p>
          <w:p>
            <w:pPr>
              <w:pStyle w:val="8"/>
              <w:spacing w:before="0" w:beforeAutospacing="0" w:after="0" w:afterAutospacing="0" w:line="27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第十七条 司法行政机关对尚未从事法律职业的证书持有人实行年度备案制度。尚未从事法律职业的证书持有人应当在每年第一季度内，持法律职业资格证书副本到地（市）司法局办理年度备案。地（市）司法局应当将年度备案情况报省（区、市）司法厅（局）。</w:t>
            </w:r>
          </w:p>
          <w:p>
            <w:pPr>
              <w:pStyle w:val="8"/>
              <w:spacing w:before="0" w:beforeAutospacing="0" w:after="0" w:afterAutospacing="0"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 w:val="21"/>
                <w:szCs w:val="21"/>
                <w:lang w:val="en-US" w:eastAsia="zh-CN"/>
              </w:rPr>
              <w:t xml:space="preserve">    </w:t>
            </w:r>
            <w:r>
              <w:rPr>
                <w:rFonts w:hint="eastAsia" w:ascii="仿宋_GB2312" w:hAnsi="仿宋_GB2312" w:eastAsia="仿宋_GB2312" w:cs="仿宋_GB2312"/>
                <w:color w:val="auto"/>
                <w:sz w:val="21"/>
                <w:szCs w:val="21"/>
              </w:rPr>
              <w:t>第十八条 司法行政机关对已经从事法律职业的证书持有人实行变更备案制度。证书持有人当在职业变更后30日内，持法律职业资格证书到地（市）司法局办理变更备案。地（市）司法局应当将证书持有人职业变更情况报省（区、市）司法厅（局）。</w:t>
            </w:r>
          </w:p>
        </w:tc>
        <w:tc>
          <w:tcPr>
            <w:tcW w:w="953" w:type="dxa"/>
            <w:vAlign w:val="center"/>
          </w:tcPr>
          <w:p>
            <w:pPr>
              <w:pStyle w:val="8"/>
              <w:spacing w:before="0" w:beforeAutospacing="0" w:after="0" w:afterAutospacing="0" w:line="270" w:lineRule="exact"/>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设区</w:t>
            </w:r>
          </w:p>
          <w:p>
            <w:pPr>
              <w:pStyle w:val="8"/>
              <w:spacing w:before="0" w:beforeAutospacing="0" w:after="0" w:afterAutospacing="0" w:line="27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 w:val="21"/>
                <w:szCs w:val="21"/>
                <w:lang w:eastAsia="zh-CN"/>
              </w:rPr>
              <w:t>的市</w:t>
            </w:r>
          </w:p>
        </w:tc>
        <w:tc>
          <w:tcPr>
            <w:tcW w:w="2690" w:type="dxa"/>
            <w:vAlign w:val="center"/>
          </w:tcPr>
          <w:p>
            <w:pPr>
              <w:pStyle w:val="8"/>
              <w:spacing w:before="0" w:beforeAutospacing="0" w:after="0" w:afterAutospacing="0" w:line="27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 w:val="21"/>
                <w:szCs w:val="21"/>
                <w:lang w:eastAsia="zh-CN"/>
              </w:rPr>
              <w:t>受理、审核</w:t>
            </w:r>
          </w:p>
        </w:tc>
      </w:tr>
    </w:tbl>
    <w:p>
      <w:pPr>
        <w:jc w:val="left"/>
        <w:rPr>
          <w:rFonts w:ascii="仿宋" w:hAnsi="仿宋" w:eastAsia="仿宋" w:cs="仿宋"/>
          <w:color w:val="auto"/>
          <w:sz w:val="18"/>
          <w:szCs w:val="18"/>
        </w:rPr>
      </w:pPr>
    </w:p>
    <w:sectPr>
      <w:footerReference r:id="rId3" w:type="default"/>
      <w:pgSz w:w="16838" w:h="11906" w:orient="landscape"/>
      <w:pgMar w:top="567" w:right="850" w:bottom="567" w:left="850"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onospace">
    <w:altName w:val="Courier New"/>
    <w:panose1 w:val="00000000000000000000"/>
    <w:charset w:val="00"/>
    <w:family w:val="auto"/>
    <w:pitch w:val="default"/>
    <w:sig w:usb0="00000000" w:usb1="00000000" w:usb2="00000000" w:usb3="00000000" w:csb0="00000000" w:csb1="00000000"/>
  </w:font>
  <w:font w:name="宋体 ! important">
    <w:altName w:val="宋体"/>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Courier New">
    <w:panose1 w:val="020703090202050204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 w:name="?? ! important">
    <w:altName w:val="Courier New"/>
    <w:panose1 w:val="00000000000000000000"/>
    <w:charset w:val="00"/>
    <w:family w:val="auto"/>
    <w:pitch w:val="default"/>
    <w:sig w:usb0="00000000" w:usb1="00000000" w:usb2="00000000" w:usb3="00000000" w:csb0="00000001" w:csb1="00000000"/>
  </w:font>
  <w:font w:name="Lucida Sans">
    <w:altName w:val="Lucida Sans Unicode"/>
    <w:panose1 w:val="020B0602030504020204"/>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方正小标宋_GBK">
    <w:panose1 w:val="03000509000000000000"/>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Adobe 仿宋 Std R">
    <w:altName w:val="仿宋_GB2312"/>
    <w:panose1 w:val="00000000000000000000"/>
    <w:charset w:val="86"/>
    <w:family w:val="roman"/>
    <w:pitch w:val="default"/>
    <w:sig w:usb0="00000000" w:usb1="00000000" w:usb2="00000010" w:usb3="00000000" w:csb0="00060007" w:csb1="00000000"/>
  </w:font>
  <w:font w:name="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auto"/>
    <w:pitch w:val="default"/>
    <w:sig w:usb0="A10006FF" w:usb1="4000205B" w:usb2="00000010" w:usb3="00000000" w:csb0="2000019F" w:csb1="00000000"/>
  </w:font>
  <w:font w:name="PingFang SC">
    <w:altName w:val="Courier New"/>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0604395"/>
    </w:sdtPr>
    <w:sdtEndPr>
      <w:rPr>
        <w:sz w:val="28"/>
      </w:rPr>
    </w:sdtEndPr>
    <w:sdtContent>
      <w:p>
        <w:pPr>
          <w:pStyle w:val="6"/>
          <w:jc w:val="center"/>
          <w:rPr>
            <w:sz w:val="28"/>
          </w:rPr>
        </w:pPr>
        <w:r>
          <w:rPr>
            <w:sz w:val="28"/>
          </w:rPr>
          <w:fldChar w:fldCharType="begin"/>
        </w:r>
        <w:r>
          <w:rPr>
            <w:sz w:val="28"/>
          </w:rPr>
          <w:instrText xml:space="preserve">PAGE   \* MERGEFORMAT</w:instrText>
        </w:r>
        <w:r>
          <w:rPr>
            <w:sz w:val="28"/>
          </w:rPr>
          <w:fldChar w:fldCharType="separate"/>
        </w:r>
        <w:r>
          <w:rPr>
            <w:sz w:val="28"/>
            <w:lang w:val="zh-CN"/>
          </w:rPr>
          <w:t>-</w:t>
        </w:r>
        <w:r>
          <w:rPr>
            <w:sz w:val="28"/>
          </w:rPr>
          <w:t xml:space="preserve"> 32 -</w:t>
        </w:r>
        <w:r>
          <w:rPr>
            <w:sz w:val="28"/>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A304F19"/>
    <w:rsid w:val="00015EEC"/>
    <w:rsid w:val="00037576"/>
    <w:rsid w:val="00090C0E"/>
    <w:rsid w:val="000C35A1"/>
    <w:rsid w:val="000D4D80"/>
    <w:rsid w:val="000E1D65"/>
    <w:rsid w:val="000E47F4"/>
    <w:rsid w:val="000E7D4A"/>
    <w:rsid w:val="0011395E"/>
    <w:rsid w:val="00141858"/>
    <w:rsid w:val="001561E4"/>
    <w:rsid w:val="00172C8E"/>
    <w:rsid w:val="001C4BA1"/>
    <w:rsid w:val="001C6673"/>
    <w:rsid w:val="001F2A16"/>
    <w:rsid w:val="00256247"/>
    <w:rsid w:val="00264BCA"/>
    <w:rsid w:val="002A3A47"/>
    <w:rsid w:val="002A52DA"/>
    <w:rsid w:val="002D11FB"/>
    <w:rsid w:val="002E403E"/>
    <w:rsid w:val="002F6BF4"/>
    <w:rsid w:val="00355430"/>
    <w:rsid w:val="00387F36"/>
    <w:rsid w:val="003C3E89"/>
    <w:rsid w:val="003D1FC1"/>
    <w:rsid w:val="004271D2"/>
    <w:rsid w:val="00427E52"/>
    <w:rsid w:val="00452A25"/>
    <w:rsid w:val="0046196A"/>
    <w:rsid w:val="004B780C"/>
    <w:rsid w:val="0056324D"/>
    <w:rsid w:val="00572355"/>
    <w:rsid w:val="00572632"/>
    <w:rsid w:val="005C0C22"/>
    <w:rsid w:val="00633A75"/>
    <w:rsid w:val="00667B93"/>
    <w:rsid w:val="006A745C"/>
    <w:rsid w:val="006A7AF9"/>
    <w:rsid w:val="006D6B51"/>
    <w:rsid w:val="006F0A2E"/>
    <w:rsid w:val="007040CF"/>
    <w:rsid w:val="007429FE"/>
    <w:rsid w:val="007478E4"/>
    <w:rsid w:val="00752DAA"/>
    <w:rsid w:val="00780ED2"/>
    <w:rsid w:val="007839C8"/>
    <w:rsid w:val="0078433C"/>
    <w:rsid w:val="007A152F"/>
    <w:rsid w:val="007E395C"/>
    <w:rsid w:val="007E4F72"/>
    <w:rsid w:val="007F1BE3"/>
    <w:rsid w:val="00805D89"/>
    <w:rsid w:val="008145D8"/>
    <w:rsid w:val="00825F92"/>
    <w:rsid w:val="008916F5"/>
    <w:rsid w:val="008B1CAF"/>
    <w:rsid w:val="008C6130"/>
    <w:rsid w:val="008E3038"/>
    <w:rsid w:val="008E66AE"/>
    <w:rsid w:val="009515D6"/>
    <w:rsid w:val="00960F3F"/>
    <w:rsid w:val="009B2B62"/>
    <w:rsid w:val="00A210C8"/>
    <w:rsid w:val="00A21D07"/>
    <w:rsid w:val="00A40722"/>
    <w:rsid w:val="00A92962"/>
    <w:rsid w:val="00A969B5"/>
    <w:rsid w:val="00B05949"/>
    <w:rsid w:val="00B47BC2"/>
    <w:rsid w:val="00B8056E"/>
    <w:rsid w:val="00B82AFE"/>
    <w:rsid w:val="00B93B91"/>
    <w:rsid w:val="00BB1A14"/>
    <w:rsid w:val="00BC2504"/>
    <w:rsid w:val="00BD7753"/>
    <w:rsid w:val="00BE1F39"/>
    <w:rsid w:val="00C231FA"/>
    <w:rsid w:val="00C357C0"/>
    <w:rsid w:val="00C473D2"/>
    <w:rsid w:val="00C6179F"/>
    <w:rsid w:val="00C61C8E"/>
    <w:rsid w:val="00C8441B"/>
    <w:rsid w:val="00C96854"/>
    <w:rsid w:val="00D10248"/>
    <w:rsid w:val="00D90022"/>
    <w:rsid w:val="00DC18E8"/>
    <w:rsid w:val="00DD27E9"/>
    <w:rsid w:val="00DE1130"/>
    <w:rsid w:val="00DF14AF"/>
    <w:rsid w:val="00DF16AA"/>
    <w:rsid w:val="00E51B0C"/>
    <w:rsid w:val="00E52833"/>
    <w:rsid w:val="00E86DEF"/>
    <w:rsid w:val="00E93725"/>
    <w:rsid w:val="00E944F5"/>
    <w:rsid w:val="00EB1637"/>
    <w:rsid w:val="00F655D1"/>
    <w:rsid w:val="00F67019"/>
    <w:rsid w:val="00F845F1"/>
    <w:rsid w:val="00F975A2"/>
    <w:rsid w:val="00FA2D46"/>
    <w:rsid w:val="00FA542D"/>
    <w:rsid w:val="00FB7B1D"/>
    <w:rsid w:val="00FC0DE1"/>
    <w:rsid w:val="00FC5C7F"/>
    <w:rsid w:val="00FE02B6"/>
    <w:rsid w:val="01437847"/>
    <w:rsid w:val="01457E29"/>
    <w:rsid w:val="01600A03"/>
    <w:rsid w:val="01717D23"/>
    <w:rsid w:val="02005802"/>
    <w:rsid w:val="024D151B"/>
    <w:rsid w:val="026D7D01"/>
    <w:rsid w:val="02BF06A9"/>
    <w:rsid w:val="03704332"/>
    <w:rsid w:val="03904FBF"/>
    <w:rsid w:val="039E02BA"/>
    <w:rsid w:val="03BF0698"/>
    <w:rsid w:val="0424111E"/>
    <w:rsid w:val="045E09BB"/>
    <w:rsid w:val="04C5285A"/>
    <w:rsid w:val="06987828"/>
    <w:rsid w:val="06C84BB9"/>
    <w:rsid w:val="07CE175F"/>
    <w:rsid w:val="08170096"/>
    <w:rsid w:val="087943A5"/>
    <w:rsid w:val="09170402"/>
    <w:rsid w:val="096B2880"/>
    <w:rsid w:val="09A5515A"/>
    <w:rsid w:val="09DC49A8"/>
    <w:rsid w:val="09FB0198"/>
    <w:rsid w:val="0A157B41"/>
    <w:rsid w:val="0A5E1BA1"/>
    <w:rsid w:val="0A9074F5"/>
    <w:rsid w:val="0B145A52"/>
    <w:rsid w:val="0B491E5E"/>
    <w:rsid w:val="0B7368EF"/>
    <w:rsid w:val="0C1462E0"/>
    <w:rsid w:val="0C3A5D28"/>
    <w:rsid w:val="0D5228C6"/>
    <w:rsid w:val="0DB14012"/>
    <w:rsid w:val="0DDC476A"/>
    <w:rsid w:val="0DFD7EE9"/>
    <w:rsid w:val="0E6B77BE"/>
    <w:rsid w:val="0F33505D"/>
    <w:rsid w:val="0F5323BF"/>
    <w:rsid w:val="0F5F1CB3"/>
    <w:rsid w:val="10486BAD"/>
    <w:rsid w:val="10597E74"/>
    <w:rsid w:val="10B67B66"/>
    <w:rsid w:val="10C76952"/>
    <w:rsid w:val="11475DA0"/>
    <w:rsid w:val="116E0A2D"/>
    <w:rsid w:val="11875E37"/>
    <w:rsid w:val="119208B0"/>
    <w:rsid w:val="11AF48B0"/>
    <w:rsid w:val="11C82C63"/>
    <w:rsid w:val="127B36BA"/>
    <w:rsid w:val="12812F42"/>
    <w:rsid w:val="12BE48D4"/>
    <w:rsid w:val="12CB46AF"/>
    <w:rsid w:val="12D434BB"/>
    <w:rsid w:val="12D738F6"/>
    <w:rsid w:val="12FB2B46"/>
    <w:rsid w:val="130A1E97"/>
    <w:rsid w:val="13295228"/>
    <w:rsid w:val="13537BFB"/>
    <w:rsid w:val="13541116"/>
    <w:rsid w:val="146355F4"/>
    <w:rsid w:val="1479134D"/>
    <w:rsid w:val="152C6E31"/>
    <w:rsid w:val="15723EA5"/>
    <w:rsid w:val="157F5D75"/>
    <w:rsid w:val="15842733"/>
    <w:rsid w:val="15C012C5"/>
    <w:rsid w:val="171B29E8"/>
    <w:rsid w:val="18100442"/>
    <w:rsid w:val="18347CEA"/>
    <w:rsid w:val="18EC5804"/>
    <w:rsid w:val="19506213"/>
    <w:rsid w:val="195D6395"/>
    <w:rsid w:val="198C1903"/>
    <w:rsid w:val="19A83474"/>
    <w:rsid w:val="19D90D4E"/>
    <w:rsid w:val="1A792321"/>
    <w:rsid w:val="1A8D748B"/>
    <w:rsid w:val="1A9850A3"/>
    <w:rsid w:val="1ACF44AB"/>
    <w:rsid w:val="1B821DE8"/>
    <w:rsid w:val="1BE75E55"/>
    <w:rsid w:val="1C1C210A"/>
    <w:rsid w:val="1C5402AF"/>
    <w:rsid w:val="1D682BD3"/>
    <w:rsid w:val="1D694022"/>
    <w:rsid w:val="1DBB1E07"/>
    <w:rsid w:val="1EB452EB"/>
    <w:rsid w:val="1EC808C3"/>
    <w:rsid w:val="1F6E5C2F"/>
    <w:rsid w:val="1FC97A1C"/>
    <w:rsid w:val="1FDB20B4"/>
    <w:rsid w:val="1FEC73A4"/>
    <w:rsid w:val="201F0AB5"/>
    <w:rsid w:val="207708F6"/>
    <w:rsid w:val="207E385B"/>
    <w:rsid w:val="20C076DA"/>
    <w:rsid w:val="21170E85"/>
    <w:rsid w:val="21933E61"/>
    <w:rsid w:val="225952B4"/>
    <w:rsid w:val="23162052"/>
    <w:rsid w:val="2397006F"/>
    <w:rsid w:val="23A42E4C"/>
    <w:rsid w:val="24953A1D"/>
    <w:rsid w:val="24CE2B8D"/>
    <w:rsid w:val="24F65720"/>
    <w:rsid w:val="252F66D8"/>
    <w:rsid w:val="2584065B"/>
    <w:rsid w:val="25E15667"/>
    <w:rsid w:val="25E94C92"/>
    <w:rsid w:val="26272495"/>
    <w:rsid w:val="26274B8F"/>
    <w:rsid w:val="26286041"/>
    <w:rsid w:val="264E59FF"/>
    <w:rsid w:val="26551C49"/>
    <w:rsid w:val="272E47B3"/>
    <w:rsid w:val="27732F9F"/>
    <w:rsid w:val="277F219F"/>
    <w:rsid w:val="28012B6D"/>
    <w:rsid w:val="2834720D"/>
    <w:rsid w:val="284A5CA4"/>
    <w:rsid w:val="28787F7F"/>
    <w:rsid w:val="28D453BE"/>
    <w:rsid w:val="292D0592"/>
    <w:rsid w:val="29327C9B"/>
    <w:rsid w:val="294E02D1"/>
    <w:rsid w:val="29E04FA3"/>
    <w:rsid w:val="2A02167E"/>
    <w:rsid w:val="2A187666"/>
    <w:rsid w:val="2A6830E9"/>
    <w:rsid w:val="2BED185F"/>
    <w:rsid w:val="2C2D30DB"/>
    <w:rsid w:val="2C4B3899"/>
    <w:rsid w:val="2C4D1099"/>
    <w:rsid w:val="2C5D55AB"/>
    <w:rsid w:val="2C6522FB"/>
    <w:rsid w:val="2C702A80"/>
    <w:rsid w:val="2CD75D6F"/>
    <w:rsid w:val="2D0C4158"/>
    <w:rsid w:val="2D1C322D"/>
    <w:rsid w:val="2DF01822"/>
    <w:rsid w:val="2E2D1592"/>
    <w:rsid w:val="2E445231"/>
    <w:rsid w:val="2E515EA3"/>
    <w:rsid w:val="2EAE10E1"/>
    <w:rsid w:val="2EBA01A7"/>
    <w:rsid w:val="2EDB53BA"/>
    <w:rsid w:val="2F4B3283"/>
    <w:rsid w:val="2FA85D89"/>
    <w:rsid w:val="303610F8"/>
    <w:rsid w:val="30C2011D"/>
    <w:rsid w:val="30D62E84"/>
    <w:rsid w:val="31145AEB"/>
    <w:rsid w:val="3133053C"/>
    <w:rsid w:val="32977CA6"/>
    <w:rsid w:val="329E3D51"/>
    <w:rsid w:val="32CD2BBE"/>
    <w:rsid w:val="32EE5F1E"/>
    <w:rsid w:val="33F77BD8"/>
    <w:rsid w:val="342641D4"/>
    <w:rsid w:val="34534462"/>
    <w:rsid w:val="34610060"/>
    <w:rsid w:val="34762E28"/>
    <w:rsid w:val="34D14F10"/>
    <w:rsid w:val="34D72C4B"/>
    <w:rsid w:val="353648C1"/>
    <w:rsid w:val="353A198F"/>
    <w:rsid w:val="358D25B7"/>
    <w:rsid w:val="361068A1"/>
    <w:rsid w:val="36297115"/>
    <w:rsid w:val="3633067E"/>
    <w:rsid w:val="363D7491"/>
    <w:rsid w:val="3671744E"/>
    <w:rsid w:val="36D17FF0"/>
    <w:rsid w:val="376C332B"/>
    <w:rsid w:val="37F87641"/>
    <w:rsid w:val="38036ACF"/>
    <w:rsid w:val="3857109E"/>
    <w:rsid w:val="38A62936"/>
    <w:rsid w:val="38D52CEC"/>
    <w:rsid w:val="393F1997"/>
    <w:rsid w:val="39A810B3"/>
    <w:rsid w:val="39A84A02"/>
    <w:rsid w:val="3AC5661C"/>
    <w:rsid w:val="3AFB0EEB"/>
    <w:rsid w:val="3B480257"/>
    <w:rsid w:val="3B705989"/>
    <w:rsid w:val="3B8A0DD3"/>
    <w:rsid w:val="3BF17E34"/>
    <w:rsid w:val="3C67073D"/>
    <w:rsid w:val="3CD22F04"/>
    <w:rsid w:val="3D1B0D0C"/>
    <w:rsid w:val="3D22483E"/>
    <w:rsid w:val="3D37615D"/>
    <w:rsid w:val="3D517D09"/>
    <w:rsid w:val="3D79650C"/>
    <w:rsid w:val="3E2D132A"/>
    <w:rsid w:val="3E471885"/>
    <w:rsid w:val="3E4F6409"/>
    <w:rsid w:val="3E606158"/>
    <w:rsid w:val="3E6E4BE4"/>
    <w:rsid w:val="3E6F36BF"/>
    <w:rsid w:val="3E75096D"/>
    <w:rsid w:val="3E8909CE"/>
    <w:rsid w:val="3EB60269"/>
    <w:rsid w:val="3F3E40F0"/>
    <w:rsid w:val="3F963329"/>
    <w:rsid w:val="406B6BF6"/>
    <w:rsid w:val="407A16F8"/>
    <w:rsid w:val="40BA18C2"/>
    <w:rsid w:val="412B0CAD"/>
    <w:rsid w:val="41A51A4F"/>
    <w:rsid w:val="41AE66FA"/>
    <w:rsid w:val="41B572E9"/>
    <w:rsid w:val="420D04F6"/>
    <w:rsid w:val="425454ED"/>
    <w:rsid w:val="42DC11A1"/>
    <w:rsid w:val="430B1754"/>
    <w:rsid w:val="432C3153"/>
    <w:rsid w:val="436A240B"/>
    <w:rsid w:val="43B95E9B"/>
    <w:rsid w:val="43C34816"/>
    <w:rsid w:val="442D0561"/>
    <w:rsid w:val="44830273"/>
    <w:rsid w:val="453334A7"/>
    <w:rsid w:val="453B3A41"/>
    <w:rsid w:val="455B0405"/>
    <w:rsid w:val="456824B3"/>
    <w:rsid w:val="46186F90"/>
    <w:rsid w:val="464476A1"/>
    <w:rsid w:val="46E24B78"/>
    <w:rsid w:val="470245A4"/>
    <w:rsid w:val="47857362"/>
    <w:rsid w:val="4788731F"/>
    <w:rsid w:val="47D63821"/>
    <w:rsid w:val="481220CF"/>
    <w:rsid w:val="4866426A"/>
    <w:rsid w:val="48692796"/>
    <w:rsid w:val="48C436EC"/>
    <w:rsid w:val="498E1948"/>
    <w:rsid w:val="49DB5905"/>
    <w:rsid w:val="49FC67C2"/>
    <w:rsid w:val="4A0A1F12"/>
    <w:rsid w:val="4A4F1987"/>
    <w:rsid w:val="4A77355E"/>
    <w:rsid w:val="4A8D536A"/>
    <w:rsid w:val="4AA427F1"/>
    <w:rsid w:val="4AC85563"/>
    <w:rsid w:val="4AD86A0A"/>
    <w:rsid w:val="4AF201BB"/>
    <w:rsid w:val="4B1F61B7"/>
    <w:rsid w:val="4B9333DC"/>
    <w:rsid w:val="4BA272C0"/>
    <w:rsid w:val="4C453A32"/>
    <w:rsid w:val="4C9E0A6E"/>
    <w:rsid w:val="4CCB469C"/>
    <w:rsid w:val="4D464509"/>
    <w:rsid w:val="4D8A221A"/>
    <w:rsid w:val="4E1B069B"/>
    <w:rsid w:val="4E76615E"/>
    <w:rsid w:val="4E826B08"/>
    <w:rsid w:val="4EA16400"/>
    <w:rsid w:val="4EF94599"/>
    <w:rsid w:val="4EFC6365"/>
    <w:rsid w:val="4F150171"/>
    <w:rsid w:val="4F4014FD"/>
    <w:rsid w:val="4F690D1F"/>
    <w:rsid w:val="50A05E74"/>
    <w:rsid w:val="50AD554E"/>
    <w:rsid w:val="50F07968"/>
    <w:rsid w:val="512171DE"/>
    <w:rsid w:val="527A6D86"/>
    <w:rsid w:val="529561DD"/>
    <w:rsid w:val="52B77024"/>
    <w:rsid w:val="5325112A"/>
    <w:rsid w:val="535844DB"/>
    <w:rsid w:val="53E724EE"/>
    <w:rsid w:val="54172118"/>
    <w:rsid w:val="543F2A37"/>
    <w:rsid w:val="54460573"/>
    <w:rsid w:val="54DE4498"/>
    <w:rsid w:val="55072C4A"/>
    <w:rsid w:val="561C41EB"/>
    <w:rsid w:val="57377D19"/>
    <w:rsid w:val="57A96787"/>
    <w:rsid w:val="57DC1DE7"/>
    <w:rsid w:val="58141498"/>
    <w:rsid w:val="58391BF4"/>
    <w:rsid w:val="58596F57"/>
    <w:rsid w:val="58DE7628"/>
    <w:rsid w:val="5A163881"/>
    <w:rsid w:val="5A5F14E0"/>
    <w:rsid w:val="5B4F61B5"/>
    <w:rsid w:val="5B535742"/>
    <w:rsid w:val="5BAB7935"/>
    <w:rsid w:val="5BCE6622"/>
    <w:rsid w:val="5CFC2D92"/>
    <w:rsid w:val="5D2D4684"/>
    <w:rsid w:val="5D5339F7"/>
    <w:rsid w:val="5D883147"/>
    <w:rsid w:val="5E1A55A6"/>
    <w:rsid w:val="5E824310"/>
    <w:rsid w:val="5F6123FD"/>
    <w:rsid w:val="6012406F"/>
    <w:rsid w:val="607553C5"/>
    <w:rsid w:val="60944DB8"/>
    <w:rsid w:val="60BF2E0F"/>
    <w:rsid w:val="613E7FE1"/>
    <w:rsid w:val="6152555B"/>
    <w:rsid w:val="615D4DD4"/>
    <w:rsid w:val="6184601C"/>
    <w:rsid w:val="61C47153"/>
    <w:rsid w:val="61F7487E"/>
    <w:rsid w:val="62094A96"/>
    <w:rsid w:val="627637B4"/>
    <w:rsid w:val="627A5EC9"/>
    <w:rsid w:val="640D0888"/>
    <w:rsid w:val="646210D7"/>
    <w:rsid w:val="64646582"/>
    <w:rsid w:val="64BB74B7"/>
    <w:rsid w:val="64C12082"/>
    <w:rsid w:val="65B20581"/>
    <w:rsid w:val="65F92015"/>
    <w:rsid w:val="6626350D"/>
    <w:rsid w:val="662C1183"/>
    <w:rsid w:val="66513516"/>
    <w:rsid w:val="66F170CE"/>
    <w:rsid w:val="680E2A94"/>
    <w:rsid w:val="6889395E"/>
    <w:rsid w:val="68E533E3"/>
    <w:rsid w:val="692542AE"/>
    <w:rsid w:val="69727F7E"/>
    <w:rsid w:val="699B7D42"/>
    <w:rsid w:val="69BC27DF"/>
    <w:rsid w:val="69E072CC"/>
    <w:rsid w:val="69E556B5"/>
    <w:rsid w:val="6A0B46E0"/>
    <w:rsid w:val="6A1C7ABC"/>
    <w:rsid w:val="6A2A4FD5"/>
    <w:rsid w:val="6A2D1197"/>
    <w:rsid w:val="6A744728"/>
    <w:rsid w:val="6A8959F4"/>
    <w:rsid w:val="6A8F1FB4"/>
    <w:rsid w:val="6A9A0D28"/>
    <w:rsid w:val="6B4D34A1"/>
    <w:rsid w:val="6B9D11CB"/>
    <w:rsid w:val="6C096640"/>
    <w:rsid w:val="6C2316E4"/>
    <w:rsid w:val="6C404809"/>
    <w:rsid w:val="6C797F0C"/>
    <w:rsid w:val="6C7B044C"/>
    <w:rsid w:val="6CD11BAF"/>
    <w:rsid w:val="6D4757E3"/>
    <w:rsid w:val="6D5B60FD"/>
    <w:rsid w:val="6D790608"/>
    <w:rsid w:val="6E1A3B11"/>
    <w:rsid w:val="6E6560FE"/>
    <w:rsid w:val="6F5C2B0B"/>
    <w:rsid w:val="6F8435EE"/>
    <w:rsid w:val="6FDE6E21"/>
    <w:rsid w:val="704F5DE2"/>
    <w:rsid w:val="70AB217B"/>
    <w:rsid w:val="719D57C9"/>
    <w:rsid w:val="71C23B0F"/>
    <w:rsid w:val="722B18C5"/>
    <w:rsid w:val="72CA77BE"/>
    <w:rsid w:val="72E10A71"/>
    <w:rsid w:val="72EF0253"/>
    <w:rsid w:val="731A7EC4"/>
    <w:rsid w:val="737D631F"/>
    <w:rsid w:val="747C0177"/>
    <w:rsid w:val="75673888"/>
    <w:rsid w:val="75E24850"/>
    <w:rsid w:val="75F76AEC"/>
    <w:rsid w:val="765A53CE"/>
    <w:rsid w:val="76661855"/>
    <w:rsid w:val="766C4C28"/>
    <w:rsid w:val="76CB6336"/>
    <w:rsid w:val="774675CF"/>
    <w:rsid w:val="775343A0"/>
    <w:rsid w:val="777C0778"/>
    <w:rsid w:val="77826CDA"/>
    <w:rsid w:val="77A43593"/>
    <w:rsid w:val="77E36EEC"/>
    <w:rsid w:val="781605CC"/>
    <w:rsid w:val="79664E28"/>
    <w:rsid w:val="79C00FB6"/>
    <w:rsid w:val="7A0647A2"/>
    <w:rsid w:val="7A304F19"/>
    <w:rsid w:val="7A4A4970"/>
    <w:rsid w:val="7AAE3B82"/>
    <w:rsid w:val="7ADE1B83"/>
    <w:rsid w:val="7B005D2E"/>
    <w:rsid w:val="7B3E5AF3"/>
    <w:rsid w:val="7B6D4F7D"/>
    <w:rsid w:val="7BC06326"/>
    <w:rsid w:val="7C0A24D1"/>
    <w:rsid w:val="7C9C658A"/>
    <w:rsid w:val="7D2318C1"/>
    <w:rsid w:val="7E032D8D"/>
    <w:rsid w:val="7E6E2D3E"/>
    <w:rsid w:val="7EF64158"/>
    <w:rsid w:val="7F1274BB"/>
    <w:rsid w:val="7F596D35"/>
    <w:rsid w:val="7FA8382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jc w:val="left"/>
      <w:outlineLvl w:val="0"/>
    </w:pPr>
    <w:rPr>
      <w:rFonts w:hint="eastAsia" w:ascii="宋体" w:hAnsi="宋体" w:eastAsia="宋体" w:cs="Times New Roman"/>
      <w:b/>
      <w:kern w:val="44"/>
      <w:sz w:val="48"/>
      <w:szCs w:val="48"/>
    </w:rPr>
  </w:style>
  <w:style w:type="character" w:default="1" w:styleId="9">
    <w:name w:val="Default Paragraph Font"/>
    <w:unhideWhenUsed/>
    <w:uiPriority w:val="1"/>
  </w:style>
  <w:style w:type="table" w:default="1" w:styleId="21">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47"/>
    <w:qFormat/>
    <w:uiPriority w:val="0"/>
    <w:rPr>
      <w:b/>
      <w:bCs/>
    </w:rPr>
  </w:style>
  <w:style w:type="paragraph" w:styleId="4">
    <w:name w:val="annotation text"/>
    <w:basedOn w:val="1"/>
    <w:link w:val="46"/>
    <w:qFormat/>
    <w:uiPriority w:val="0"/>
    <w:pPr>
      <w:jc w:val="left"/>
    </w:pPr>
  </w:style>
  <w:style w:type="paragraph" w:styleId="5">
    <w:name w:val="Balloon Text"/>
    <w:basedOn w:val="1"/>
    <w:link w:val="48"/>
    <w:qFormat/>
    <w:uiPriority w:val="0"/>
    <w:rPr>
      <w:rFonts w:ascii="Times New Roman" w:hAnsi="Times New Roman" w:cs="Times New Roman"/>
      <w:sz w:val="18"/>
      <w:szCs w:val="18"/>
    </w:rPr>
  </w:style>
  <w:style w:type="paragraph" w:styleId="6">
    <w:name w:val="footer"/>
    <w:basedOn w:val="1"/>
    <w:link w:val="45"/>
    <w:qFormat/>
    <w:uiPriority w:val="99"/>
    <w:pPr>
      <w:tabs>
        <w:tab w:val="center" w:pos="4153"/>
        <w:tab w:val="right" w:pos="8306"/>
      </w:tabs>
      <w:snapToGrid w:val="0"/>
      <w:jc w:val="left"/>
    </w:pPr>
    <w:rPr>
      <w:sz w:val="18"/>
      <w:szCs w:val="18"/>
    </w:rPr>
  </w:style>
  <w:style w:type="paragraph" w:styleId="7">
    <w:name w:val="header"/>
    <w:basedOn w:val="1"/>
    <w:link w:val="4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styleId="10">
    <w:name w:val="Strong"/>
    <w:basedOn w:val="9"/>
    <w:qFormat/>
    <w:uiPriority w:val="99"/>
    <w:rPr>
      <w:b/>
    </w:rPr>
  </w:style>
  <w:style w:type="character" w:styleId="11">
    <w:name w:val="FollowedHyperlink"/>
    <w:basedOn w:val="9"/>
    <w:qFormat/>
    <w:uiPriority w:val="0"/>
    <w:rPr>
      <w:color w:val="000000"/>
      <w:u w:val="none"/>
    </w:rPr>
  </w:style>
  <w:style w:type="character" w:styleId="12">
    <w:name w:val="Emphasis"/>
    <w:basedOn w:val="9"/>
    <w:qFormat/>
    <w:uiPriority w:val="0"/>
  </w:style>
  <w:style w:type="character" w:styleId="13">
    <w:name w:val="HTML Definition"/>
    <w:basedOn w:val="9"/>
    <w:qFormat/>
    <w:uiPriority w:val="0"/>
  </w:style>
  <w:style w:type="character" w:styleId="14">
    <w:name w:val="HTML Variable"/>
    <w:basedOn w:val="9"/>
    <w:qFormat/>
    <w:uiPriority w:val="0"/>
  </w:style>
  <w:style w:type="character" w:styleId="15">
    <w:name w:val="Hyperlink"/>
    <w:basedOn w:val="9"/>
    <w:qFormat/>
    <w:uiPriority w:val="0"/>
    <w:rPr>
      <w:color w:val="000000"/>
      <w:u w:val="none"/>
    </w:rPr>
  </w:style>
  <w:style w:type="character" w:styleId="16">
    <w:name w:val="HTML Code"/>
    <w:basedOn w:val="9"/>
    <w:qFormat/>
    <w:uiPriority w:val="0"/>
    <w:rPr>
      <w:rFonts w:ascii="monospace" w:hAnsi="monospace" w:eastAsia="monospace" w:cs="monospace"/>
      <w:sz w:val="21"/>
      <w:szCs w:val="21"/>
    </w:rPr>
  </w:style>
  <w:style w:type="character" w:styleId="17">
    <w:name w:val="annotation reference"/>
    <w:basedOn w:val="9"/>
    <w:qFormat/>
    <w:uiPriority w:val="0"/>
    <w:rPr>
      <w:sz w:val="21"/>
      <w:szCs w:val="21"/>
    </w:rPr>
  </w:style>
  <w:style w:type="character" w:styleId="18">
    <w:name w:val="HTML Cite"/>
    <w:basedOn w:val="9"/>
    <w:qFormat/>
    <w:uiPriority w:val="0"/>
  </w:style>
  <w:style w:type="character" w:styleId="19">
    <w:name w:val="HTML Keyboard"/>
    <w:basedOn w:val="9"/>
    <w:qFormat/>
    <w:uiPriority w:val="0"/>
    <w:rPr>
      <w:rFonts w:hint="default" w:ascii="monospace" w:hAnsi="monospace" w:eastAsia="monospace" w:cs="monospace"/>
      <w:sz w:val="21"/>
      <w:szCs w:val="21"/>
    </w:rPr>
  </w:style>
  <w:style w:type="character" w:styleId="20">
    <w:name w:val="HTML Sample"/>
    <w:basedOn w:val="9"/>
    <w:qFormat/>
    <w:uiPriority w:val="0"/>
    <w:rPr>
      <w:rFonts w:hint="default" w:ascii="monospace" w:hAnsi="monospace" w:eastAsia="monospace" w:cs="monospace"/>
      <w:sz w:val="21"/>
      <w:szCs w:val="21"/>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3">
    <w:name w:val="hover18"/>
    <w:basedOn w:val="9"/>
    <w:qFormat/>
    <w:uiPriority w:val="0"/>
    <w:rPr>
      <w:color w:val="025291"/>
    </w:rPr>
  </w:style>
  <w:style w:type="character" w:customStyle="1" w:styleId="24">
    <w:name w:val="gwds_nopic"/>
    <w:basedOn w:val="9"/>
    <w:qFormat/>
    <w:uiPriority w:val="0"/>
  </w:style>
  <w:style w:type="character" w:customStyle="1" w:styleId="25">
    <w:name w:val="gwds_nopic1"/>
    <w:basedOn w:val="9"/>
    <w:qFormat/>
    <w:uiPriority w:val="0"/>
    <w:rPr>
      <w:rFonts w:ascii="宋体 ! important" w:hAnsi="宋体 ! important" w:eastAsia="宋体 ! important" w:cs="宋体 ! important"/>
      <w:color w:val="454545"/>
      <w:sz w:val="14"/>
      <w:szCs w:val="14"/>
    </w:rPr>
  </w:style>
  <w:style w:type="character" w:customStyle="1" w:styleId="26">
    <w:name w:val="gwds_nopic2"/>
    <w:basedOn w:val="9"/>
    <w:qFormat/>
    <w:uiPriority w:val="0"/>
  </w:style>
  <w:style w:type="character" w:customStyle="1" w:styleId="27">
    <w:name w:val="font"/>
    <w:basedOn w:val="9"/>
    <w:qFormat/>
    <w:uiPriority w:val="0"/>
  </w:style>
  <w:style w:type="character" w:customStyle="1" w:styleId="28">
    <w:name w:val="font1"/>
    <w:basedOn w:val="9"/>
    <w:qFormat/>
    <w:uiPriority w:val="0"/>
  </w:style>
  <w:style w:type="character" w:customStyle="1" w:styleId="29">
    <w:name w:val="noline"/>
    <w:basedOn w:val="9"/>
    <w:qFormat/>
    <w:uiPriority w:val="0"/>
  </w:style>
  <w:style w:type="character" w:customStyle="1" w:styleId="30">
    <w:name w:val="place"/>
    <w:basedOn w:val="9"/>
    <w:qFormat/>
    <w:uiPriority w:val="0"/>
    <w:rPr>
      <w:rFonts w:ascii="微软雅黑" w:hAnsi="微软雅黑" w:eastAsia="微软雅黑" w:cs="微软雅黑"/>
      <w:color w:val="888888"/>
      <w:sz w:val="17"/>
      <w:szCs w:val="17"/>
    </w:rPr>
  </w:style>
  <w:style w:type="character" w:customStyle="1" w:styleId="31">
    <w:name w:val="place1"/>
    <w:basedOn w:val="9"/>
    <w:qFormat/>
    <w:uiPriority w:val="0"/>
  </w:style>
  <w:style w:type="character" w:customStyle="1" w:styleId="32">
    <w:name w:val="place2"/>
    <w:basedOn w:val="9"/>
    <w:qFormat/>
    <w:uiPriority w:val="0"/>
  </w:style>
  <w:style w:type="character" w:customStyle="1" w:styleId="33">
    <w:name w:val="place3"/>
    <w:basedOn w:val="9"/>
    <w:qFormat/>
    <w:uiPriority w:val="0"/>
  </w:style>
  <w:style w:type="character" w:customStyle="1" w:styleId="34">
    <w:name w:val="hover17"/>
    <w:basedOn w:val="9"/>
    <w:qFormat/>
    <w:uiPriority w:val="0"/>
    <w:rPr>
      <w:color w:val="025291"/>
    </w:rPr>
  </w:style>
  <w:style w:type="character" w:customStyle="1" w:styleId="35">
    <w:name w:val="fontborder"/>
    <w:basedOn w:val="9"/>
    <w:qFormat/>
    <w:uiPriority w:val="0"/>
    <w:rPr>
      <w:bdr w:val="single" w:color="000000" w:sz="4" w:space="0"/>
    </w:rPr>
  </w:style>
  <w:style w:type="character" w:customStyle="1" w:styleId="36">
    <w:name w:val="fontstrikethrough"/>
    <w:basedOn w:val="9"/>
    <w:qFormat/>
    <w:uiPriority w:val="0"/>
    <w:rPr>
      <w:strike/>
    </w:rPr>
  </w:style>
  <w:style w:type="character" w:customStyle="1" w:styleId="37">
    <w:name w:val="hover16"/>
    <w:basedOn w:val="9"/>
    <w:qFormat/>
    <w:uiPriority w:val="0"/>
    <w:rPr>
      <w:color w:val="025291"/>
    </w:rPr>
  </w:style>
  <w:style w:type="character" w:customStyle="1" w:styleId="38">
    <w:name w:val="hover"/>
    <w:basedOn w:val="9"/>
    <w:qFormat/>
    <w:uiPriority w:val="0"/>
    <w:rPr>
      <w:color w:val="025291"/>
    </w:rPr>
  </w:style>
  <w:style w:type="character" w:customStyle="1" w:styleId="39">
    <w:name w:val="wen"/>
    <w:basedOn w:val="9"/>
    <w:qFormat/>
    <w:uiPriority w:val="0"/>
  </w:style>
  <w:style w:type="character" w:customStyle="1" w:styleId="40">
    <w:name w:val="ts"/>
    <w:basedOn w:val="9"/>
    <w:qFormat/>
    <w:uiPriority w:val="0"/>
    <w:rPr>
      <w:color w:val="965408"/>
      <w:sz w:val="12"/>
      <w:szCs w:val="12"/>
    </w:rPr>
  </w:style>
  <w:style w:type="character" w:customStyle="1" w:styleId="41">
    <w:name w:val="name"/>
    <w:basedOn w:val="9"/>
    <w:qFormat/>
    <w:uiPriority w:val="0"/>
    <w:rPr>
      <w:b/>
    </w:rPr>
  </w:style>
  <w:style w:type="character" w:customStyle="1" w:styleId="42">
    <w:name w:val="time"/>
    <w:basedOn w:val="9"/>
    <w:qFormat/>
    <w:uiPriority w:val="0"/>
    <w:rPr>
      <w:color w:val="BF1506"/>
    </w:rPr>
  </w:style>
  <w:style w:type="character" w:customStyle="1" w:styleId="43">
    <w:name w:val="da"/>
    <w:basedOn w:val="9"/>
    <w:qFormat/>
    <w:uiPriority w:val="0"/>
  </w:style>
  <w:style w:type="character" w:customStyle="1" w:styleId="44">
    <w:name w:val="页眉 Char"/>
    <w:basedOn w:val="9"/>
    <w:link w:val="7"/>
    <w:qFormat/>
    <w:uiPriority w:val="0"/>
    <w:rPr>
      <w:rFonts w:asciiTheme="minorHAnsi" w:hAnsiTheme="minorHAnsi" w:eastAsiaTheme="minorEastAsia" w:cstheme="minorBidi"/>
      <w:kern w:val="2"/>
      <w:sz w:val="18"/>
      <w:szCs w:val="18"/>
    </w:rPr>
  </w:style>
  <w:style w:type="character" w:customStyle="1" w:styleId="45">
    <w:name w:val="页脚 Char"/>
    <w:basedOn w:val="9"/>
    <w:link w:val="6"/>
    <w:qFormat/>
    <w:uiPriority w:val="99"/>
    <w:rPr>
      <w:rFonts w:asciiTheme="minorHAnsi" w:hAnsiTheme="minorHAnsi" w:eastAsiaTheme="minorEastAsia" w:cstheme="minorBidi"/>
      <w:kern w:val="2"/>
      <w:sz w:val="18"/>
      <w:szCs w:val="18"/>
    </w:rPr>
  </w:style>
  <w:style w:type="character" w:customStyle="1" w:styleId="46">
    <w:name w:val="批注文字 Char"/>
    <w:basedOn w:val="9"/>
    <w:link w:val="4"/>
    <w:qFormat/>
    <w:uiPriority w:val="0"/>
    <w:rPr>
      <w:rFonts w:asciiTheme="minorHAnsi" w:hAnsiTheme="minorHAnsi" w:eastAsiaTheme="minorEastAsia" w:cstheme="minorBidi"/>
      <w:kern w:val="2"/>
      <w:sz w:val="21"/>
      <w:szCs w:val="24"/>
    </w:rPr>
  </w:style>
  <w:style w:type="character" w:customStyle="1" w:styleId="47">
    <w:name w:val="批注主题 Char"/>
    <w:basedOn w:val="46"/>
    <w:link w:val="3"/>
    <w:qFormat/>
    <w:uiPriority w:val="0"/>
    <w:rPr>
      <w:rFonts w:asciiTheme="minorHAnsi" w:hAnsiTheme="minorHAnsi" w:eastAsiaTheme="minorEastAsia" w:cstheme="minorBidi"/>
      <w:b/>
      <w:bCs/>
      <w:kern w:val="2"/>
      <w:sz w:val="21"/>
      <w:szCs w:val="24"/>
    </w:rPr>
  </w:style>
  <w:style w:type="character" w:customStyle="1" w:styleId="48">
    <w:name w:val="批注框文本 Char"/>
    <w:basedOn w:val="9"/>
    <w:link w:val="5"/>
    <w:qFormat/>
    <w:uiPriority w:val="0"/>
    <w:rPr>
      <w:rFonts w:eastAsiaTheme="minorEastAsia"/>
      <w:kern w:val="2"/>
      <w:sz w:val="18"/>
      <w:szCs w:val="18"/>
    </w:rPr>
  </w:style>
  <w:style w:type="paragraph" w:customStyle="1" w:styleId="49">
    <w:name w:val="zw"/>
    <w:basedOn w:val="1"/>
    <w:qFormat/>
    <w:uiPriority w:val="99"/>
    <w:pPr>
      <w:widowControl/>
      <w:spacing w:before="100" w:beforeAutospacing="1" w:after="100" w:afterAutospacing="1"/>
      <w:jc w:val="left"/>
    </w:pPr>
    <w:rPr>
      <w:rFonts w:ascii="宋体" w:hAnsi="宋体" w:eastAsia="宋体" w:cs="宋体"/>
      <w:kern w:val="0"/>
      <w:sz w:val="24"/>
    </w:rPr>
  </w:style>
  <w:style w:type="character" w:customStyle="1" w:styleId="50">
    <w:name w:val="ht1"/>
    <w:qFormat/>
    <w:uiPriority w:val="99"/>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E30E69-BBB3-41B0-9FB0-A0AF4D665836}">
  <ds:schemaRefs/>
</ds:datastoreItem>
</file>

<file path=docProps/app.xml><?xml version="1.0" encoding="utf-8"?>
<Properties xmlns="http://schemas.openxmlformats.org/officeDocument/2006/extended-properties" xmlns:vt="http://schemas.openxmlformats.org/officeDocument/2006/docPropsVTypes">
  <Template>Normal</Template>
  <Company>北京大成（银川）律师事务所</Company>
  <Pages>34</Pages>
  <Words>3739</Words>
  <Characters>21318</Characters>
  <Lines>177</Lines>
  <Paragraphs>50</Paragraphs>
  <ScaleCrop>false</ScaleCrop>
  <LinksUpToDate>false</LinksUpToDate>
  <CharactersWithSpaces>25007</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2019-02-11T08:08:00Z</dcterms:created>
  <dc:creator>fggf</dc:creator>
  <cp:lastModifiedBy>Administrator</cp:lastModifiedBy>
  <cp:lastPrinted>2018-05-23T09:37:00Z</cp:lastPrinted>
  <dcterms:modified xsi:type="dcterms:W3CDTF">2019-12-03T06:26:51Z</dcterms:modified>
  <dc:title>自治区司法系统权力清单指导目录</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